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360" w:after="240"/>
        <w:jc w:val="center"/>
        <w:rPr>
          <w:rFonts w:ascii="Times New Roman" w:hAnsi="Times New Roman" w:eastAsia="宋体" w:cs="Times New Roman"/>
          <w:b/>
          <w:sz w:val="36"/>
          <w:szCs w:val="36"/>
        </w:rPr>
      </w:pPr>
      <w:r>
        <w:rPr>
          <w:rFonts w:ascii="Times New Roman" w:hAnsi="Times New Roman" w:eastAsia="宋体" w:cs="Times New Roman"/>
          <w:b/>
          <w:sz w:val="36"/>
          <w:szCs w:val="36"/>
        </w:rPr>
        <w:t>中国资源枯竭型城市转型效果评价</w:t>
      </w:r>
    </w:p>
    <w:p>
      <w:pPr>
        <w:spacing w:line="300" w:lineRule="exact"/>
        <w:jc w:val="left"/>
        <w:rPr>
          <w:rFonts w:ascii="Times New Roman" w:hAnsi="Times New Roman" w:eastAsia="楷体_GB2312" w:cs="Times New Roman"/>
          <w:sz w:val="18"/>
          <w:szCs w:val="18"/>
        </w:rPr>
      </w:pPr>
      <w:r>
        <w:rPr>
          <w:rFonts w:ascii="Times New Roman" w:hAnsi="Times New Roman" w:eastAsia="宋体" w:cs="Times New Roman"/>
          <w:b/>
          <w:bCs/>
          <w:sz w:val="18"/>
          <w:szCs w:val="18"/>
        </w:rPr>
        <w:t>摘  要</w:t>
      </w:r>
      <w:r>
        <w:rPr>
          <w:rFonts w:ascii="Times New Roman" w:hAnsi="Times New Roman" w:eastAsia="宋体" w:cs="Times New Roman"/>
          <w:sz w:val="18"/>
          <w:szCs w:val="18"/>
        </w:rPr>
        <w:t>：</w:t>
      </w:r>
      <w:r>
        <w:rPr>
          <w:rFonts w:ascii="Times New Roman" w:hAnsi="Times New Roman" w:eastAsia="楷体_GB2312" w:cs="Times New Roman"/>
          <w:sz w:val="18"/>
          <w:szCs w:val="18"/>
        </w:rPr>
        <w:t>本文选取24个中国资源枯竭型城市为研究对象，以经济发展、社会民生、生态环境三个子系统为框架构建中国资源枯竭型城市转型评价指标体系，基于2009和2019年的各项统计数据，用熵权法计算评价得分，结果表明：（1）资源枯竭型地级市经济发展逐渐落后于全国平均水平，</w:t>
      </w:r>
      <w:bookmarkStart w:id="0" w:name="_Hlk108283556"/>
      <w:r>
        <w:rPr>
          <w:rFonts w:ascii="Times New Roman" w:hAnsi="Times New Roman" w:eastAsia="楷体_GB2312" w:cs="Times New Roman"/>
          <w:sz w:val="18"/>
          <w:szCs w:val="18"/>
        </w:rPr>
        <w:t>2009年评价等级“较优”以上的城市有4个，2019年为0个</w:t>
      </w:r>
      <w:bookmarkEnd w:id="0"/>
      <w:r>
        <w:rPr>
          <w:rFonts w:ascii="Times New Roman" w:hAnsi="Times New Roman" w:eastAsia="楷体_GB2312" w:cs="Times New Roman"/>
          <w:sz w:val="18"/>
          <w:szCs w:val="18"/>
        </w:rPr>
        <w:t>；（2）社会民生各项有较大进步，评价等级“优”的城市有4个，2019年为10个；（3）生态环境恶化，改善并不明显，评价等级“优”的城市有5个，2019年为0个；（4）总体转型效果不够理想，空间分异现象明显，各城市转型差距较大，分值总体分布由“较优”转向“较差”。</w:t>
      </w:r>
    </w:p>
    <w:p>
      <w:pPr>
        <w:spacing w:line="300" w:lineRule="exact"/>
        <w:jc w:val="left"/>
        <w:rPr>
          <w:rFonts w:ascii="Times New Roman" w:hAnsi="Times New Roman" w:eastAsia="楷体_GB2312" w:cs="Times New Roman"/>
          <w:sz w:val="18"/>
          <w:szCs w:val="18"/>
        </w:rPr>
      </w:pPr>
      <w:r>
        <w:rPr>
          <w:rFonts w:ascii="Times New Roman" w:hAnsi="Times New Roman" w:eastAsia="宋体" w:cs="Times New Roman"/>
          <w:b/>
          <w:bCs/>
          <w:sz w:val="18"/>
          <w:szCs w:val="18"/>
        </w:rPr>
        <w:t>关键词：</w:t>
      </w:r>
      <w:r>
        <w:rPr>
          <w:rFonts w:ascii="Times New Roman" w:hAnsi="Times New Roman" w:eastAsia="楷体_GB2312" w:cs="Times New Roman"/>
          <w:sz w:val="18"/>
          <w:szCs w:val="18"/>
        </w:rPr>
        <w:t>资源枯竭型城市；城市评价；熵权法</w:t>
      </w:r>
    </w:p>
    <w:p>
      <w:pPr>
        <w:widowControl/>
        <w:spacing w:after="300"/>
        <w:jc w:val="left"/>
        <w:rPr>
          <w:rFonts w:ascii="Times New Roman" w:hAnsi="Times New Roman" w:eastAsia="宋体" w:cs="Times New Roman"/>
          <w:color w:val="333333"/>
          <w:kern w:val="0"/>
          <w:szCs w:val="21"/>
        </w:rPr>
      </w:pPr>
      <w:r>
        <w:rPr>
          <w:rFonts w:ascii="Times New Roman" w:hAnsi="Times New Roman" w:eastAsia="宋体" w:cs="Times New Roman"/>
          <w:b/>
          <w:bCs/>
          <w:sz w:val="18"/>
          <w:szCs w:val="18"/>
        </w:rPr>
        <w:t>中图分类号：</w:t>
      </w:r>
      <w:r>
        <w:rPr>
          <w:rFonts w:ascii="Times New Roman" w:hAnsi="Times New Roman" w:eastAsia="楷体_GB2312" w:cs="Times New Roman"/>
          <w:sz w:val="18"/>
          <w:szCs w:val="18"/>
        </w:rPr>
        <w:t>F062.1</w:t>
      </w:r>
      <w:r>
        <w:rPr>
          <w:rFonts w:ascii="Times New Roman" w:hAnsi="Times New Roman" w:eastAsia="楷体_GB2312" w:cs="Times New Roman"/>
          <w:sz w:val="18"/>
          <w:szCs w:val="18"/>
        </w:rPr>
        <w:tab/>
      </w:r>
      <w:r>
        <w:rPr>
          <w:rFonts w:ascii="Times New Roman" w:hAnsi="Times New Roman" w:eastAsia="宋体" w:cs="Times New Roman"/>
          <w:b/>
          <w:bCs/>
          <w:sz w:val="18"/>
          <w:szCs w:val="18"/>
        </w:rPr>
        <w:t>文献标识码：A</w:t>
      </w:r>
    </w:p>
    <w:p>
      <w:pPr>
        <w:spacing w:before="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Evaluation of the China’s Resource-exhausted Cities’ Transformation Effect</w:t>
      </w:r>
    </w:p>
    <w:p>
      <w:pPr>
        <w:pStyle w:val="2"/>
        <w:spacing w:line="240" w:lineRule="exact"/>
        <w:ind w:firstLine="0"/>
        <w:rPr>
          <w:sz w:val="18"/>
        </w:rPr>
      </w:pPr>
      <w:bookmarkStart w:id="2" w:name="_GoBack"/>
      <w:bookmarkEnd w:id="2"/>
      <w:r>
        <w:rPr>
          <w:b/>
          <w:bCs/>
          <w:sz w:val="18"/>
        </w:rPr>
        <w:t>Abstract：</w:t>
      </w:r>
      <w:r>
        <w:rPr>
          <w:sz w:val="18"/>
        </w:rPr>
        <w:t>This paper selects 24 Chinese resource-exhausted cities as the research objects, and constructs an evaluation index system for the transformation of Chinese resource-exhausted cities based on the three subsystems of economic development, social and people's livelihood, and ecological environment.</w:t>
      </w:r>
      <w:r>
        <w:t xml:space="preserve"> </w:t>
      </w:r>
      <w:r>
        <w:rPr>
          <w:sz w:val="18"/>
        </w:rPr>
        <w:t>Based on statistics for 2009 and 2019, the evaluation score is calculated using the entropy method, and the results show that:(1)The economic development of the resource-exhausted prefecture-level cities gradually lags behind the national average, In 2009,there were 4 cities with an evaluation level of “excellent” and above, and in 2019, there were 0 cities;(2)The social and people's livelihood has made great progress, there are 4 cities with an “excellent” rating, and 10 in 2019;(3)The ecological environment has deteriorated, and the improvement is not enough, there are 5 cities with an “excellent” rating, and 0 in 2019.(4)The overall transformation effect is not ideal, the spatial differentiation is obvious, and the transformation gap between cities is large, the overall distribution of scores changed from “better” to “worse”.</w:t>
      </w:r>
    </w:p>
    <w:p>
      <w:pPr>
        <w:pStyle w:val="2"/>
        <w:spacing w:line="240" w:lineRule="exact"/>
        <w:ind w:firstLine="0"/>
        <w:rPr>
          <w:rFonts w:eastAsia="黑体"/>
          <w:sz w:val="18"/>
        </w:rPr>
      </w:pPr>
      <w:r>
        <w:rPr>
          <w:rFonts w:eastAsia="黑体"/>
          <w:b/>
          <w:bCs/>
          <w:sz w:val="18"/>
        </w:rPr>
        <w:t>Key words：</w:t>
      </w:r>
      <w:r>
        <w:rPr>
          <w:rFonts w:eastAsia="黑体"/>
          <w:sz w:val="18"/>
        </w:rPr>
        <w:t>resource-exhausted city; city evaluation; entropy-weight method</w:t>
      </w:r>
    </w:p>
    <w:p>
      <w:pPr>
        <w:pStyle w:val="2"/>
        <w:spacing w:line="240" w:lineRule="exact"/>
        <w:ind w:firstLine="0"/>
        <w:rPr>
          <w:rFonts w:eastAsia="黑体"/>
          <w:sz w:val="18"/>
        </w:rPr>
      </w:pPr>
    </w:p>
    <w:p>
      <w:pPr>
        <w:pStyle w:val="2"/>
        <w:spacing w:line="240" w:lineRule="exact"/>
        <w:ind w:firstLine="0"/>
        <w:rPr>
          <w:rFonts w:eastAsia="黑体"/>
          <w:sz w:val="18"/>
        </w:rPr>
        <w:sectPr>
          <w:type w:val="continuous"/>
          <w:pgSz w:w="11906" w:h="16838"/>
          <w:pgMar w:top="1503" w:right="1134" w:bottom="1389" w:left="1134" w:header="794" w:footer="794" w:gutter="0"/>
          <w:cols w:space="425" w:num="1"/>
          <w:docGrid w:type="lines" w:linePitch="289" w:charSpace="0"/>
        </w:sectPr>
      </w:pPr>
    </w:p>
    <w:p>
      <w:pPr>
        <w:rPr>
          <w:rFonts w:ascii="Times New Roman" w:hAnsi="Times New Roman" w:eastAsia="宋体" w:cs="Times New Roman"/>
          <w:sz w:val="28"/>
          <w:szCs w:val="28"/>
        </w:rPr>
      </w:pPr>
      <w:r>
        <w:rPr>
          <w:rFonts w:ascii="Times New Roman" w:hAnsi="Times New Roman" w:eastAsia="宋体" w:cs="Times New Roman"/>
          <w:sz w:val="28"/>
          <w:szCs w:val="28"/>
        </w:rPr>
        <w:t>引  言</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资源枯竭型城市是指矿产资源开发进入后期，其累计采出储量已达到可采储量的70%以上的城市。20世纪后半叶，我国一大批城市依托能源和矿物开采而兴起，也因资源枯竭而逐渐衰退，随之带来经济发展滞后、失业率升高、环境质量下降等一系列社会与生态问题，因此资源枯竭型城市的转型发展成为了政府和学术界关注的热点。</w:t>
      </w:r>
    </w:p>
    <w:p>
      <w:pPr>
        <w:spacing w:line="300" w:lineRule="exact"/>
        <w:ind w:firstLine="420" w:firstLineChars="200"/>
        <w:rPr>
          <w:rFonts w:ascii="Times New Roman" w:hAnsi="Times New Roman" w:eastAsia="宋体" w:cs="Times New Roman"/>
          <w:sz w:val="24"/>
          <w:szCs w:val="24"/>
        </w:rPr>
      </w:pPr>
      <w:r>
        <w:rPr>
          <w:rFonts w:ascii="Times New Roman" w:hAnsi="Times New Roman" w:eastAsia="宋体" w:cs="Times New Roman"/>
          <w:szCs w:val="21"/>
        </w:rPr>
        <w:t>国外关于资源枯竭城市转型的研究主要是将经济学、社会学、环境生态学与资源枯竭城市转型结合起来。Hayter等人对加拿大资源型工业两个劳动力市场分割阶段的划定研究，以劳工市场角度对工矿城市发展进行描述</w:t>
      </w:r>
      <w:r>
        <w:rPr>
          <w:rFonts w:ascii="Times New Roman" w:hAnsi="Times New Roman" w:eastAsia="宋体" w:cs="Times New Roman"/>
          <w:sz w:val="24"/>
          <w:szCs w:val="24"/>
          <w:vertAlign w:val="superscript"/>
        </w:rPr>
        <w:t>[1]</w:t>
      </w:r>
      <w:r>
        <w:rPr>
          <w:rFonts w:ascii="Times New Roman" w:hAnsi="Times New Roman" w:eastAsia="宋体" w:cs="Times New Roman"/>
          <w:szCs w:val="21"/>
        </w:rPr>
        <w:t>。Matthew等人找出资源依赖和社会经济福利之间的联系，对澳大利亚西部33个矿业小镇的社会经济绩效进行横断面分析，并设计实证模型来解释不同资源产业背景下社会经济绩效的可变性</w:t>
      </w:r>
      <w:r>
        <w:rPr>
          <w:rFonts w:ascii="Times New Roman" w:hAnsi="Times New Roman" w:eastAsia="宋体" w:cs="Times New Roman"/>
          <w:sz w:val="24"/>
          <w:szCs w:val="24"/>
          <w:vertAlign w:val="superscript"/>
        </w:rPr>
        <w:t>[2]</w:t>
      </w:r>
      <w:r>
        <w:rPr>
          <w:rFonts w:ascii="Times New Roman" w:hAnsi="Times New Roman" w:eastAsia="宋体" w:cs="Times New Roman"/>
          <w:szCs w:val="21"/>
        </w:rPr>
        <w:t>。随着工矿城镇资源枯竭和衰退，学者研究重点从产业经济效应提升转向可持续发展上，Spooner对矿业与区域发展提出了可行策略</w:t>
      </w:r>
      <w:r>
        <w:rPr>
          <w:rFonts w:ascii="Times New Roman" w:hAnsi="Times New Roman" w:eastAsia="宋体" w:cs="Times New Roman"/>
          <w:sz w:val="24"/>
          <w:szCs w:val="24"/>
          <w:vertAlign w:val="superscript"/>
        </w:rPr>
        <w:t>[3]</w:t>
      </w:r>
      <w:r>
        <w:rPr>
          <w:rFonts w:ascii="Times New Roman" w:hAnsi="Times New Roman" w:eastAsia="宋体" w:cs="Times New Roman"/>
          <w:szCs w:val="21"/>
        </w:rPr>
        <w:t>、John等人以谢弗维尔矿区为例，分析了矿区衰退的模式</w:t>
      </w:r>
      <w:r>
        <w:rPr>
          <w:rFonts w:ascii="Times New Roman" w:hAnsi="Times New Roman" w:eastAsia="宋体" w:cs="Times New Roman"/>
          <w:sz w:val="24"/>
          <w:szCs w:val="24"/>
          <w:vertAlign w:val="superscript"/>
        </w:rPr>
        <w:t>[4]</w:t>
      </w:r>
      <w:r>
        <w:rPr>
          <w:rFonts w:ascii="Times New Roman" w:hAnsi="Times New Roman" w:eastAsia="宋体" w:cs="Times New Roman"/>
          <w:szCs w:val="21"/>
        </w:rPr>
        <w:t>。</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国内对资源枯竭型城市的研究与国家政策紧密相关，资源枯竭型城市转型最重要的模块是产业转型，由于各城市有着不同的制约因素和发展优势</w:t>
      </w:r>
      <w:r>
        <w:rPr>
          <w:rFonts w:ascii="Times New Roman" w:hAnsi="Times New Roman" w:eastAsia="宋体" w:cs="Times New Roman"/>
          <w:sz w:val="24"/>
          <w:szCs w:val="24"/>
          <w:vertAlign w:val="superscript"/>
        </w:rPr>
        <w:t>[5]</w:t>
      </w:r>
      <w:r>
        <w:rPr>
          <w:rFonts w:ascii="Times New Roman" w:hAnsi="Times New Roman" w:eastAsia="宋体" w:cs="Times New Roman"/>
          <w:szCs w:val="21"/>
        </w:rPr>
        <w:t>，如何利用自然与社会文化条件尤为重要，譬如高新技术产业和旅游业等新型绿色产业的发展就成为了我国大多数资源枯竭型城市转型的主要路径</w:t>
      </w:r>
      <w:r>
        <w:rPr>
          <w:rFonts w:ascii="Times New Roman" w:hAnsi="Times New Roman" w:eastAsia="宋体" w:cs="Times New Roman"/>
          <w:sz w:val="24"/>
          <w:szCs w:val="24"/>
          <w:vertAlign w:val="superscript"/>
        </w:rPr>
        <w:t>[6,7]</w:t>
      </w:r>
      <w:r>
        <w:rPr>
          <w:rFonts w:ascii="Times New Roman" w:hAnsi="Times New Roman" w:eastAsia="宋体" w:cs="Times New Roman"/>
          <w:szCs w:val="21"/>
        </w:rPr>
        <w:t>。同时，资源枯竭型城市急需解决生态环境污染和恶化、就业困难等一系列生态、社会问题</w:t>
      </w:r>
      <w:r>
        <w:rPr>
          <w:rFonts w:ascii="Times New Roman" w:hAnsi="Times New Roman" w:eastAsia="宋体" w:cs="Times New Roman"/>
          <w:sz w:val="24"/>
          <w:szCs w:val="24"/>
          <w:vertAlign w:val="superscript"/>
        </w:rPr>
        <w:t>[8]</w:t>
      </w:r>
      <w:r>
        <w:rPr>
          <w:rFonts w:ascii="Times New Roman" w:hAnsi="Times New Roman" w:eastAsia="宋体" w:cs="Times New Roman"/>
          <w:szCs w:val="21"/>
        </w:rPr>
        <w:t>，在政府、社会和国家政策的扶持</w:t>
      </w:r>
      <w:r>
        <w:rPr>
          <w:rFonts w:ascii="Times New Roman" w:hAnsi="Times New Roman" w:eastAsia="宋体" w:cs="Times New Roman"/>
          <w:sz w:val="24"/>
          <w:szCs w:val="24"/>
          <w:vertAlign w:val="superscript"/>
        </w:rPr>
        <w:t>[9]</w:t>
      </w:r>
      <w:r>
        <w:rPr>
          <w:rFonts w:ascii="Times New Roman" w:hAnsi="Times New Roman" w:eastAsia="宋体" w:cs="Times New Roman"/>
          <w:szCs w:val="21"/>
        </w:rPr>
        <w:t>之下，我国资源枯竭型城市转型取得了初步的成效。自国务院颁布第一批资源枯竭型城市名单十年有余，资源枯竭型城市转型效果如何也是社会各界关心的问题。本文选取24个中国资源枯竭型城市为研究对象，以经济发展、社会民生、生态环境三个子系统为框架构建中国资源枯竭型城市转型评价指标体系，基于2009和2019年的相关统计数据，分析和评价了24个地级市的转型效果。</w:t>
      </w:r>
    </w:p>
    <w:p>
      <w:pPr>
        <w:pStyle w:val="3"/>
        <w:spacing w:line="240" w:lineRule="auto"/>
        <w:ind w:firstLine="0"/>
        <w:rPr>
          <w:b/>
          <w:sz w:val="28"/>
          <w:szCs w:val="28"/>
        </w:rPr>
      </w:pPr>
      <w:r>
        <w:rPr>
          <w:b/>
          <w:sz w:val="28"/>
          <w:szCs w:val="28"/>
        </w:rPr>
        <w:t>1  数据来源与研究方法</w:t>
      </w:r>
    </w:p>
    <w:p>
      <w:pPr>
        <w:pStyle w:val="3"/>
        <w:spacing w:before="60" w:after="60"/>
        <w:ind w:firstLine="0"/>
        <w:rPr>
          <w:b/>
          <w:bCs/>
          <w:sz w:val="21"/>
        </w:rPr>
      </w:pPr>
      <w:r>
        <w:rPr>
          <w:b/>
          <w:bCs/>
          <w:sz w:val="21"/>
        </w:rPr>
        <w:t>1.1 数据来源</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国务院在2008、2009和2012年分三批发布了69个资源枯竭型城市名单，由于县级市与地级市之间存在体量差异，县级市统计数据也存在缺失，因此本文筛选出其中24个地级市作为研究对象。根据国家统计局2011年发布的《东西中部和东北地区划分方法》，我国的经济区域被划分为东部、中部、西部和东北四大地区，本文所选取的24个资源枯竭型城市所对应的区域如表1所示。</w:t>
      </w:r>
    </w:p>
    <w:p>
      <w:pPr>
        <w:spacing w:before="160" w:after="80" w:line="200" w:lineRule="exact"/>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表1  研究对象</w:t>
      </w:r>
    </w:p>
    <w:tbl>
      <w:tblPr>
        <w:tblStyle w:val="8"/>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42"/>
        <w:gridCol w:w="6938"/>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2" w:type="dxa"/>
            <w:tcBorders>
              <w:top w:val="single" w:color="008000" w:sz="12" w:space="0"/>
              <w:bottom w:val="single" w:color="008000" w:sz="6" w:space="0"/>
            </w:tcBorders>
            <w:vAlign w:val="center"/>
          </w:tcPr>
          <w:p>
            <w:pPr>
              <w:pStyle w:val="2"/>
              <w:spacing w:line="0" w:lineRule="atLeast"/>
              <w:ind w:firstLine="0"/>
              <w:jc w:val="center"/>
              <w:rPr>
                <w:rFonts w:eastAsia="楷体"/>
                <w:sz w:val="18"/>
                <w:szCs w:val="18"/>
              </w:rPr>
            </w:pPr>
            <w:r>
              <w:rPr>
                <w:rFonts w:eastAsia="楷体"/>
                <w:sz w:val="18"/>
                <w:szCs w:val="18"/>
              </w:rPr>
              <w:t>分区</w:t>
            </w:r>
          </w:p>
        </w:tc>
        <w:tc>
          <w:tcPr>
            <w:tcW w:w="6938" w:type="dxa"/>
            <w:tcBorders>
              <w:top w:val="single" w:color="008000" w:sz="12" w:space="0"/>
              <w:bottom w:val="single" w:color="008000" w:sz="6" w:space="0"/>
            </w:tcBorders>
            <w:vAlign w:val="center"/>
          </w:tcPr>
          <w:p>
            <w:pPr>
              <w:pStyle w:val="2"/>
              <w:spacing w:line="0" w:lineRule="atLeast"/>
              <w:ind w:firstLine="0"/>
              <w:jc w:val="center"/>
              <w:rPr>
                <w:rFonts w:eastAsia="楷体"/>
                <w:b/>
                <w:bCs/>
                <w:sz w:val="18"/>
                <w:szCs w:val="18"/>
              </w:rPr>
            </w:pPr>
            <w:r>
              <w:rPr>
                <w:rFonts w:eastAsia="楷体"/>
                <w:bCs/>
                <w:sz w:val="18"/>
                <w:szCs w:val="18"/>
              </w:rPr>
              <w:t>地级市</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2" w:type="dxa"/>
            <w:tcBorders>
              <w:top w:val="single" w:color="008000" w:sz="6" w:space="0"/>
            </w:tcBorders>
            <w:vAlign w:val="center"/>
          </w:tcPr>
          <w:p>
            <w:pPr>
              <w:pStyle w:val="2"/>
              <w:spacing w:line="0" w:lineRule="atLeast"/>
              <w:ind w:firstLine="0"/>
              <w:jc w:val="center"/>
              <w:rPr>
                <w:rFonts w:eastAsia="楷体"/>
                <w:b/>
                <w:bCs/>
                <w:sz w:val="18"/>
                <w:szCs w:val="18"/>
              </w:rPr>
            </w:pPr>
            <w:r>
              <w:rPr>
                <w:rFonts w:eastAsia="楷体"/>
                <w:bCs/>
                <w:sz w:val="18"/>
                <w:szCs w:val="18"/>
              </w:rPr>
              <w:t>东部</w:t>
            </w:r>
          </w:p>
        </w:tc>
        <w:tc>
          <w:tcPr>
            <w:tcW w:w="6938" w:type="dxa"/>
            <w:tcBorders>
              <w:top w:val="single" w:color="008000" w:sz="6" w:space="0"/>
            </w:tcBorders>
            <w:vAlign w:val="center"/>
          </w:tcPr>
          <w:p>
            <w:pPr>
              <w:pStyle w:val="2"/>
              <w:spacing w:line="0" w:lineRule="atLeast"/>
              <w:ind w:firstLine="0"/>
              <w:jc w:val="center"/>
              <w:rPr>
                <w:rFonts w:eastAsia="楷体"/>
                <w:sz w:val="18"/>
                <w:szCs w:val="18"/>
              </w:rPr>
            </w:pPr>
            <w:r>
              <w:rPr>
                <w:rFonts w:eastAsia="楷体"/>
                <w:sz w:val="18"/>
                <w:szCs w:val="18"/>
              </w:rPr>
              <w:t>枣庄市、韶关市</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2" w:type="dxa"/>
            <w:vAlign w:val="center"/>
          </w:tcPr>
          <w:p>
            <w:pPr>
              <w:pStyle w:val="2"/>
              <w:spacing w:line="0" w:lineRule="atLeast"/>
              <w:ind w:firstLine="0"/>
              <w:jc w:val="center"/>
              <w:rPr>
                <w:rFonts w:eastAsia="楷体"/>
                <w:b/>
                <w:bCs/>
                <w:sz w:val="18"/>
                <w:szCs w:val="18"/>
              </w:rPr>
            </w:pPr>
            <w:r>
              <w:rPr>
                <w:rFonts w:eastAsia="楷体"/>
                <w:bCs/>
                <w:sz w:val="18"/>
                <w:szCs w:val="18"/>
              </w:rPr>
              <w:t>中部</w:t>
            </w:r>
          </w:p>
        </w:tc>
        <w:tc>
          <w:tcPr>
            <w:tcW w:w="6938" w:type="dxa"/>
            <w:vAlign w:val="center"/>
          </w:tcPr>
          <w:p>
            <w:pPr>
              <w:pStyle w:val="2"/>
              <w:spacing w:line="0" w:lineRule="atLeast"/>
              <w:ind w:firstLine="0"/>
              <w:jc w:val="center"/>
              <w:rPr>
                <w:rFonts w:eastAsia="楷体"/>
                <w:sz w:val="18"/>
                <w:szCs w:val="18"/>
              </w:rPr>
            </w:pPr>
            <w:r>
              <w:rPr>
                <w:rFonts w:eastAsia="楷体"/>
                <w:sz w:val="18"/>
                <w:szCs w:val="18"/>
              </w:rPr>
              <w:t>淮北市、焦作市、濮阳市、铜陵市、萍乡市、景德镇市、新余市、黄石市</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2" w:type="dxa"/>
            <w:vAlign w:val="center"/>
          </w:tcPr>
          <w:p>
            <w:pPr>
              <w:pStyle w:val="2"/>
              <w:spacing w:line="0" w:lineRule="atLeast"/>
              <w:ind w:firstLine="0"/>
              <w:jc w:val="center"/>
              <w:rPr>
                <w:rFonts w:eastAsia="楷体"/>
                <w:b/>
                <w:bCs/>
                <w:sz w:val="18"/>
                <w:szCs w:val="18"/>
              </w:rPr>
            </w:pPr>
            <w:r>
              <w:rPr>
                <w:rFonts w:eastAsia="楷体"/>
                <w:bCs/>
                <w:sz w:val="18"/>
                <w:szCs w:val="18"/>
              </w:rPr>
              <w:t>西部</w:t>
            </w:r>
          </w:p>
        </w:tc>
        <w:tc>
          <w:tcPr>
            <w:tcW w:w="6938" w:type="dxa"/>
            <w:vAlign w:val="center"/>
          </w:tcPr>
          <w:p>
            <w:pPr>
              <w:pStyle w:val="2"/>
              <w:spacing w:line="0" w:lineRule="atLeast"/>
              <w:ind w:firstLine="0"/>
              <w:jc w:val="center"/>
              <w:rPr>
                <w:rFonts w:eastAsia="楷体"/>
                <w:sz w:val="18"/>
                <w:szCs w:val="18"/>
              </w:rPr>
            </w:pPr>
            <w:r>
              <w:rPr>
                <w:rFonts w:eastAsia="楷体"/>
                <w:sz w:val="18"/>
                <w:szCs w:val="18"/>
              </w:rPr>
              <w:t>乌海市、泸州市、铜川市、白银市、石嘴山市</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jc w:val="center"/>
        </w:trPr>
        <w:tc>
          <w:tcPr>
            <w:tcW w:w="1542" w:type="dxa"/>
            <w:vAlign w:val="center"/>
          </w:tcPr>
          <w:p>
            <w:pPr>
              <w:pStyle w:val="2"/>
              <w:spacing w:line="0" w:lineRule="atLeast"/>
              <w:ind w:firstLine="0"/>
              <w:jc w:val="center"/>
              <w:rPr>
                <w:rFonts w:eastAsia="楷体"/>
                <w:b/>
                <w:bCs/>
                <w:sz w:val="18"/>
                <w:szCs w:val="18"/>
              </w:rPr>
            </w:pPr>
            <w:r>
              <w:rPr>
                <w:rFonts w:eastAsia="楷体"/>
                <w:bCs/>
                <w:sz w:val="18"/>
                <w:szCs w:val="18"/>
              </w:rPr>
              <w:t>东北地区</w:t>
            </w:r>
          </w:p>
        </w:tc>
        <w:tc>
          <w:tcPr>
            <w:tcW w:w="6938" w:type="dxa"/>
            <w:vAlign w:val="center"/>
          </w:tcPr>
          <w:p>
            <w:pPr>
              <w:pStyle w:val="2"/>
              <w:spacing w:line="0" w:lineRule="atLeast"/>
              <w:ind w:firstLine="0"/>
              <w:jc w:val="center"/>
              <w:rPr>
                <w:rFonts w:eastAsia="楷体"/>
                <w:sz w:val="18"/>
                <w:szCs w:val="18"/>
              </w:rPr>
            </w:pPr>
            <w:r>
              <w:rPr>
                <w:rFonts w:eastAsia="楷体"/>
                <w:sz w:val="18"/>
                <w:szCs w:val="18"/>
              </w:rPr>
              <w:t>阜新市、盘锦市、抚顺市、辽源市、白山市、伊春市、七台河市、鹤岗市、双鸭山市</w:t>
            </w:r>
          </w:p>
        </w:tc>
      </w:tr>
    </w:tbl>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本文研究数据来源于《中国统计年鉴2010、2020》、各省市2010年、2020年统计年鉴，以及2009年、2019年各省市统计公报以及政府网站发布的工作报告等网站信息。</w:t>
      </w:r>
    </w:p>
    <w:p>
      <w:pPr>
        <w:pStyle w:val="3"/>
        <w:spacing w:before="60" w:after="60"/>
        <w:ind w:firstLine="0"/>
        <w:rPr>
          <w:b/>
          <w:bCs/>
          <w:sz w:val="21"/>
        </w:rPr>
      </w:pPr>
      <w:r>
        <w:rPr>
          <w:b/>
          <w:bCs/>
          <w:sz w:val="21"/>
        </w:rPr>
        <w:t>1.2 研究方法</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1.2.1 熵值法  </w:t>
      </w:r>
      <w:r>
        <w:rPr>
          <w:rFonts w:ascii="Times New Roman" w:hAnsi="Times New Roman" w:eastAsia="宋体" w:cs="Times New Roman"/>
          <w:szCs w:val="21"/>
        </w:rPr>
        <w:t>本文从经济发展、社会民生、生态资源三个维度出发构建资源枯竭型城市转型评价体系，共选取17个评价指标，分别以2009和2019年24个地级市的17项统计数据作为24个样本，用熵值法给各项指标赋权</w:t>
      </w:r>
      <w:r>
        <w:rPr>
          <w:rFonts w:ascii="Times New Roman" w:hAnsi="Times New Roman" w:eastAsia="宋体" w:cs="Times New Roman"/>
          <w:sz w:val="24"/>
          <w:szCs w:val="24"/>
          <w:vertAlign w:val="superscript"/>
        </w:rPr>
        <w:t>[10]</w:t>
      </w:r>
      <w:r>
        <w:rPr>
          <w:rFonts w:ascii="Times New Roman" w:hAnsi="Times New Roman" w:eastAsia="宋体" w:cs="Times New Roman"/>
          <w:szCs w:val="21"/>
        </w:rPr>
        <w:t>，算出各城市2009、2019年各指标的得分和排名；同时，将17个指标对应的全国所有城市的平均值默认为第25个样本数据。代入计算组，参与评分与排名。以下是熵值法的具体步骤：</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（i）数据标准化</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设指标为</w:t>
      </w: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1</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2</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18</m:t>
            </m:r>
            <m:ctrlPr>
              <w:rPr>
                <w:rFonts w:ascii="Cambria Math" w:hAnsi="Cambria Math" w:eastAsia="宋体" w:cs="Times New Roman"/>
                <w:szCs w:val="21"/>
              </w:rPr>
            </m:ctrlPr>
          </m:sub>
        </m:sSub>
      </m:oMath>
      <w:r>
        <w:rPr>
          <w:rFonts w:ascii="Times New Roman" w:hAnsi="Times New Roman" w:eastAsia="宋体" w:cs="Times New Roman"/>
          <w:szCs w:val="21"/>
        </w:rPr>
        <w:t>，其中</w:t>
      </w:r>
      <m:oMath>
        <m:sSub>
          <m:sSubPr>
            <m:ctrlPr>
              <w:rPr>
                <w:rFonts w:ascii="Cambria Math" w:hAnsi="Cambria Math" w:eastAsia="宋体" w:cs="Times New Roman"/>
                <w:szCs w:val="21"/>
              </w:rPr>
            </m:ctrlPr>
          </m:sSubPr>
          <m:e>
            <m:r>
              <m:rPr/>
              <w:rPr>
                <w:rFonts w:ascii="Cambria Math" w:hAnsi="Cambria Math" w:eastAsia="宋体" w:cs="Times New Roman"/>
                <w:szCs w:val="21"/>
              </w:rPr>
              <m:t>X</m:t>
            </m:r>
            <m:ctrlPr>
              <w:rPr>
                <w:rFonts w:ascii="Cambria Math" w:hAnsi="Cambria Math" w:eastAsia="宋体" w:cs="Times New Roman"/>
                <w:szCs w:val="21"/>
              </w:rPr>
            </m:ctrlPr>
          </m:e>
          <m:sub>
            <m:r>
              <m:rPr/>
              <w:rPr>
                <w:rFonts w:ascii="Cambria Math" w:hAnsi="Cambria Math" w:eastAsia="宋体" w:cs="Times New Roman"/>
                <w:szCs w:val="21"/>
              </w:rPr>
              <m:t>i</m:t>
            </m:r>
            <m:ctrlPr>
              <w:rPr>
                <w:rFonts w:ascii="Cambria Math" w:hAnsi="Cambria Math" w:eastAsia="宋体" w:cs="Times New Roman"/>
                <w:szCs w:val="21"/>
              </w:rPr>
            </m:ctrlPr>
          </m:sub>
        </m:sSub>
        <m:r>
          <m:rPr>
            <m:sty m:val="p"/>
          </m:rPr>
          <w:rPr>
            <w:rFonts w:ascii="Cambria Math" w:hAnsi="Cambria Math" w:eastAsia="宋体" w:cs="Times New Roman"/>
            <w:szCs w:val="21"/>
          </w:rPr>
          <m:t>=</m:t>
        </m:r>
        <m:d>
          <m:dPr>
            <m:begChr m:val="{"/>
            <m:endChr m:val="}"/>
            <m:ctrlPr>
              <w:rPr>
                <w:rFonts w:ascii="Cambria Math" w:hAnsi="Cambria Math" w:eastAsia="宋体" w:cs="Times New Roman"/>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1</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2</m:t>
                </m:r>
                <m:ctrlPr>
                  <w:rPr>
                    <w:rFonts w:ascii="Cambria Math" w:hAnsi="Cambria Math" w:eastAsia="宋体" w:cs="Times New Roman"/>
                    <w:i/>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20</m:t>
                </m:r>
                <m:ctrlPr>
                  <w:rPr>
                    <w:rFonts w:ascii="Cambria Math" w:hAnsi="Cambria Math" w:eastAsia="宋体" w:cs="Times New Roman"/>
                    <w:i/>
                    <w:szCs w:val="21"/>
                  </w:rPr>
                </m:ctrlPr>
              </m:sub>
            </m:sSub>
            <m:ctrlPr>
              <w:rPr>
                <w:rFonts w:ascii="Cambria Math" w:hAnsi="Cambria Math" w:eastAsia="宋体" w:cs="Times New Roman"/>
                <w:szCs w:val="21"/>
              </w:rPr>
            </m:ctrlPr>
          </m:e>
        </m:d>
      </m:oMath>
      <w:r>
        <w:rPr>
          <w:rFonts w:ascii="Times New Roman" w:hAnsi="Times New Roman" w:eastAsia="宋体" w:cs="Times New Roman"/>
          <w:szCs w:val="21"/>
        </w:rPr>
        <w:t>。设标准化后值为</w:t>
      </w:r>
      <m:oMath>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1</m:t>
            </m:r>
            <m:ctrlPr>
              <w:rPr>
                <w:rFonts w:ascii="Cambria Math" w:hAnsi="Cambria Math" w:eastAsia="宋体" w:cs="Times New Roman"/>
                <w:szCs w:val="21"/>
              </w:rPr>
            </m:ctrlPr>
          </m:sub>
        </m:sSub>
        <m:r>
          <m:rPr>
            <m:sty m:val="p"/>
          </m:rPr>
          <w:rPr>
            <w:rFonts w:ascii="Cambria Math" w:hAnsi="Cambria Math" w:eastAsia="宋体" w:cs="Times New Roman"/>
            <w:szCs w:val="21"/>
          </w:rPr>
          <m:t>，</m:t>
        </m:r>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2</m:t>
            </m:r>
            <m:ctrlPr>
              <w:rPr>
                <w:rFonts w:ascii="Cambria Math" w:hAnsi="Cambria Math" w:eastAsia="宋体" w:cs="Times New Roman"/>
                <w:szCs w:val="21"/>
              </w:rPr>
            </m:ctrlPr>
          </m:sub>
        </m:sSub>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18</m:t>
            </m:r>
            <m:ctrlPr>
              <w:rPr>
                <w:rFonts w:ascii="Cambria Math" w:hAnsi="Cambria Math" w:eastAsia="宋体" w:cs="Times New Roman"/>
                <w:i/>
                <w:szCs w:val="21"/>
              </w:rPr>
            </m:ctrlPr>
          </m:sub>
        </m:sSub>
      </m:oMath>
      <w:r>
        <w:rPr>
          <w:rFonts w:ascii="Times New Roman" w:hAnsi="Times New Roman" w:eastAsia="宋体" w:cs="Times New Roman"/>
          <w:szCs w:val="21"/>
        </w:rPr>
        <w:t>，</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正向指标为(1)，反向指标为(2)如下：</w:t>
      </w:r>
    </w:p>
    <w:p>
      <w:pPr>
        <w:spacing w:line="360" w:lineRule="auto"/>
        <w:ind w:firstLine="420" w:firstLineChars="200"/>
        <w:rPr>
          <w:rFonts w:ascii="Times New Roman" w:hAnsi="Times New Roman" w:eastAsia="宋体" w:cs="Times New Roman"/>
          <w:szCs w:val="21"/>
        </w:rPr>
      </w:pPr>
      <m:oMathPara>
        <m:oMath>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ij</m:t>
              </m:r>
              <m:ctrlPr>
                <w:rPr>
                  <w:rFonts w:ascii="Cambria Math" w:hAnsi="Cambria Math" w:eastAsia="宋体" w:cs="Times New Roman"/>
                  <w:szCs w:val="21"/>
                </w:rPr>
              </m:ctrlPr>
            </m:sub>
          </m:sSub>
          <m:r>
            <m:rPr>
              <m:sty m:val="p"/>
            </m:rPr>
            <w:rPr>
              <w:rFonts w:ascii="Cambria Math" w:hAnsi="Cambria Math" w:eastAsia="宋体" w:cs="Times New Roman"/>
              <w:szCs w:val="21"/>
            </w:rPr>
            <m:t>=</m:t>
          </m:r>
          <m:f>
            <m:fPr>
              <m:ctrlPr>
                <w:rPr>
                  <w:rFonts w:ascii="Cambria Math" w:hAnsi="Cambria Math" w:eastAsia="宋体" w:cs="Times New Roman"/>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r>
                <m:rPr/>
                <w:rPr>
                  <w:rFonts w:ascii="Cambria Math" w:hAnsi="Cambria Math" w:eastAsia="宋体" w:cs="Times New Roman"/>
                  <w:szCs w:val="21"/>
                </w:rPr>
                <m:t>−min</m:t>
              </m:r>
              <m:d>
                <m:dPr>
                  <m:ctrlPr>
                    <w:rPr>
                      <w:rFonts w:ascii="Cambria Math" w:hAnsi="Cambria Math" w:eastAsia="宋体" w:cs="Times New Roman"/>
                      <w:i/>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d>
              <m:ctrlPr>
                <w:rPr>
                  <w:rFonts w:ascii="Cambria Math" w:hAnsi="Cambria Math" w:eastAsia="宋体" w:cs="Times New Roman"/>
                  <w:szCs w:val="21"/>
                </w:rPr>
              </m:ctrlPr>
            </m:num>
            <m:den>
              <m:r>
                <m:rPr/>
                <w:rPr>
                  <w:rFonts w:ascii="Cambria Math" w:hAnsi="Cambria Math" w:eastAsia="宋体" w:cs="Times New Roman"/>
                  <w:szCs w:val="21"/>
                </w:rPr>
                <m:t>max</m:t>
              </m:r>
              <m:d>
                <m:dPr>
                  <m:ctrlPr>
                    <w:rPr>
                      <w:rFonts w:ascii="Cambria Math" w:hAnsi="Cambria Math" w:eastAsia="宋体" w:cs="Times New Roman"/>
                      <w:i/>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d>
              <m:r>
                <m:rPr/>
                <w:rPr>
                  <w:rFonts w:ascii="Cambria Math" w:hAnsi="Cambria Math" w:eastAsia="宋体" w:cs="Times New Roman"/>
                  <w:szCs w:val="21"/>
                </w:rPr>
                <m:t>−min</m:t>
              </m:r>
              <m:d>
                <m:dPr>
                  <m:ctrlPr>
                    <w:rPr>
                      <w:rFonts w:ascii="Cambria Math" w:hAnsi="Cambria Math" w:eastAsia="宋体" w:cs="Times New Roman"/>
                      <w:i/>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d>
              <m:ctrlPr>
                <w:rPr>
                  <w:rFonts w:ascii="Cambria Math" w:hAnsi="Cambria Math" w:eastAsia="宋体" w:cs="Times New Roman"/>
                  <w:szCs w:val="21"/>
                </w:rPr>
              </m:ctrlPr>
            </m:den>
          </m:f>
          <m:r>
            <m:rPr>
              <m:sty m:val="p"/>
            </m:rPr>
            <w:rPr>
              <w:rFonts w:ascii="Cambria Math" w:hAnsi="Cambria Math" w:cs="Times New Roman"/>
              <w:szCs w:val="21"/>
            </w:rPr>
            <m:t xml:space="preserve">           (1)</m:t>
          </m:r>
        </m:oMath>
      </m:oMathPara>
    </w:p>
    <w:p>
      <w:pPr>
        <w:spacing w:line="360" w:lineRule="auto"/>
        <w:ind w:firstLine="420" w:firstLineChars="200"/>
        <w:rPr>
          <w:rFonts w:ascii="Times New Roman" w:hAnsi="Times New Roman" w:eastAsia="宋体" w:cs="Times New Roman"/>
          <w:b/>
          <w:bCs/>
          <w:szCs w:val="21"/>
        </w:rPr>
      </w:pPr>
      <m:oMathPara>
        <m:oMath>
          <m:sSub>
            <m:sSubPr>
              <m:ctrlPr>
                <w:rPr>
                  <w:rFonts w:ascii="Cambria Math" w:hAnsi="Cambria Math" w:eastAsia="宋体" w:cs="Times New Roman"/>
                  <w:szCs w:val="21"/>
                </w:rPr>
              </m:ctrlPr>
            </m:sSubPr>
            <m:e>
              <m:r>
                <m:rPr/>
                <w:rPr>
                  <w:rFonts w:ascii="Cambria Math" w:hAnsi="Cambria Math" w:eastAsia="宋体" w:cs="Times New Roman"/>
                  <w:szCs w:val="21"/>
                </w:rPr>
                <m:t>Y</m:t>
              </m:r>
              <m:ctrlPr>
                <w:rPr>
                  <w:rFonts w:ascii="Cambria Math" w:hAnsi="Cambria Math" w:eastAsia="宋体" w:cs="Times New Roman"/>
                  <w:szCs w:val="21"/>
                </w:rPr>
              </m:ctrlPr>
            </m:e>
            <m:sub>
              <m:r>
                <m:rPr/>
                <w:rPr>
                  <w:rFonts w:ascii="Cambria Math" w:hAnsi="Cambria Math" w:eastAsia="宋体" w:cs="Times New Roman"/>
                  <w:szCs w:val="21"/>
                </w:rPr>
                <m:t>ij</m:t>
              </m:r>
              <m:ctrlPr>
                <w:rPr>
                  <w:rFonts w:ascii="Cambria Math" w:hAnsi="Cambria Math" w:eastAsia="宋体" w:cs="Times New Roman"/>
                  <w:szCs w:val="21"/>
                </w:rPr>
              </m:ctrlPr>
            </m:sub>
          </m:sSub>
          <m:r>
            <m:rPr>
              <m:sty m:val="p"/>
            </m:rPr>
            <w:rPr>
              <w:rFonts w:ascii="Cambria Math" w:hAnsi="Cambria Math" w:eastAsia="宋体" w:cs="Times New Roman"/>
              <w:szCs w:val="21"/>
            </w:rPr>
            <m:t>=</m:t>
          </m:r>
          <m:f>
            <m:fPr>
              <m:ctrlPr>
                <w:rPr>
                  <w:rFonts w:ascii="Cambria Math" w:hAnsi="Cambria Math" w:eastAsia="宋体" w:cs="Times New Roman"/>
                  <w:szCs w:val="21"/>
                </w:rPr>
              </m:ctrlPr>
            </m:fPr>
            <m:num>
              <m:r>
                <m:rPr/>
                <w:rPr>
                  <w:rFonts w:ascii="Cambria Math" w:hAnsi="Cambria Math" w:eastAsia="宋体" w:cs="Times New Roman"/>
                  <w:szCs w:val="21"/>
                </w:rPr>
                <m:t>max</m:t>
              </m:r>
              <m:d>
                <m:dPr>
                  <m:ctrlPr>
                    <w:rPr>
                      <w:rFonts w:ascii="Cambria Math" w:hAnsi="Cambria Math" w:eastAsia="宋体" w:cs="Times New Roman"/>
                      <w:i/>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d>
              <m:r>
                <m:rPr/>
                <w:rPr>
                  <w:rFonts w:ascii="Cambria Math" w:hAnsi="Cambria Math" w:eastAsia="宋体" w:cs="Times New Roman"/>
                  <w:szCs w:val="21"/>
                </w:rPr>
                <m:t>−</m:t>
              </m:r>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ctrlPr>
                <w:rPr>
                  <w:rFonts w:ascii="Cambria Math" w:hAnsi="Cambria Math" w:eastAsia="宋体" w:cs="Times New Roman"/>
                  <w:szCs w:val="21"/>
                </w:rPr>
              </m:ctrlPr>
            </m:num>
            <m:den>
              <m:r>
                <m:rPr/>
                <w:rPr>
                  <w:rFonts w:ascii="Cambria Math" w:hAnsi="Cambria Math" w:eastAsia="宋体" w:cs="Times New Roman"/>
                  <w:szCs w:val="21"/>
                </w:rPr>
                <m:t>max</m:t>
              </m:r>
              <m:d>
                <m:dPr>
                  <m:ctrlPr>
                    <w:rPr>
                      <w:rFonts w:ascii="Cambria Math" w:hAnsi="Cambria Math" w:eastAsia="宋体" w:cs="Times New Roman"/>
                      <w:i/>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d>
              <m:r>
                <m:rPr/>
                <w:rPr>
                  <w:rFonts w:ascii="Cambria Math" w:hAnsi="Cambria Math" w:eastAsia="宋体" w:cs="Times New Roman"/>
                  <w:szCs w:val="21"/>
                </w:rPr>
                <m:t>−min</m:t>
              </m:r>
              <m:d>
                <m:dPr>
                  <m:ctrlPr>
                    <w:rPr>
                      <w:rFonts w:ascii="Cambria Math" w:hAnsi="Cambria Math" w:eastAsia="宋体" w:cs="Times New Roman"/>
                      <w:i/>
                      <w:szCs w:val="21"/>
                    </w:rPr>
                  </m:ctrlPr>
                </m:dPr>
                <m:e>
                  <m:sSub>
                    <m:sSubPr>
                      <m:ctrlPr>
                        <w:rPr>
                          <w:rFonts w:ascii="Cambria Math" w:hAnsi="Cambria Math" w:eastAsia="宋体" w:cs="Times New Roman"/>
                          <w:i/>
                          <w:szCs w:val="21"/>
                        </w:rPr>
                      </m:ctrlPr>
                    </m:sSubPr>
                    <m:e>
                      <m:r>
                        <m:rPr/>
                        <w:rPr>
                          <w:rFonts w:ascii="Cambria Math" w:hAnsi="Cambria Math" w:eastAsia="宋体" w:cs="Times New Roman"/>
                          <w:szCs w:val="21"/>
                        </w:rPr>
                        <m:t>X</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d>
              <m:ctrlPr>
                <w:rPr>
                  <w:rFonts w:ascii="Cambria Math" w:hAnsi="Cambria Math" w:eastAsia="宋体" w:cs="Times New Roman"/>
                  <w:szCs w:val="21"/>
                </w:rPr>
              </m:ctrlPr>
            </m:den>
          </m:f>
          <m:r>
            <m:rPr>
              <m:sty m:val="p"/>
            </m:rPr>
            <w:rPr>
              <w:rFonts w:ascii="Cambria Math" w:hAnsi="Cambria Math" w:cs="Times New Roman"/>
              <w:szCs w:val="21"/>
            </w:rPr>
            <m:t xml:space="preserve">           (2)</m:t>
          </m:r>
        </m:oMath>
      </m:oMathPara>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（ii）求信息熵</w:t>
      </w:r>
    </w:p>
    <w:p>
      <w:pPr>
        <w:spacing w:line="300" w:lineRule="exact"/>
        <w:ind w:firstLine="420" w:firstLineChars="200"/>
        <w:rPr>
          <w:rFonts w:ascii="Times New Roman" w:hAnsi="Times New Roman" w:eastAsia="宋体" w:cs="Times New Roman"/>
          <w:sz w:val="24"/>
          <w:szCs w:val="24"/>
        </w:rPr>
      </w:pPr>
      <w:r>
        <w:rPr>
          <w:rFonts w:ascii="Times New Roman" w:hAnsi="Times New Roman" w:eastAsia="宋体" w:cs="Times New Roman"/>
          <w:szCs w:val="21"/>
        </w:rPr>
        <w:t>设一组数据的信息熵为</w:t>
      </w:r>
      <m:oMath>
        <m:sSub>
          <m:sSubPr>
            <m:ctrlPr>
              <w:rPr>
                <w:rFonts w:ascii="Cambria Math" w:hAnsi="Cambria Math" w:eastAsia="宋体" w:cs="Times New Roman"/>
                <w:szCs w:val="21"/>
              </w:rPr>
            </m:ctrlPr>
          </m:sSubPr>
          <m:e>
            <m:r>
              <m:rPr/>
              <w:rPr>
                <w:rFonts w:ascii="Cambria Math" w:hAnsi="Cambria Math" w:eastAsia="宋体" w:cs="Times New Roman"/>
                <w:szCs w:val="21"/>
              </w:rPr>
              <m:t>E</m:t>
            </m:r>
            <m:ctrlPr>
              <w:rPr>
                <w:rFonts w:ascii="Cambria Math" w:hAnsi="Cambria Math" w:eastAsia="宋体" w:cs="Times New Roman"/>
                <w:szCs w:val="21"/>
              </w:rPr>
            </m:ctrlPr>
          </m:e>
          <m:sub>
            <m:r>
              <m:rPr/>
              <w:rPr>
                <w:rFonts w:ascii="Cambria Math" w:hAnsi="Cambria Math" w:eastAsia="宋体" w:cs="Times New Roman"/>
                <w:szCs w:val="21"/>
              </w:rPr>
              <m:t>j</m:t>
            </m:r>
            <m:ctrlPr>
              <w:rPr>
                <w:rFonts w:ascii="Cambria Math" w:hAnsi="Cambria Math" w:eastAsia="宋体" w:cs="Times New Roman"/>
                <w:szCs w:val="21"/>
              </w:rPr>
            </m:ctrlPr>
          </m:sub>
        </m:sSub>
      </m:oMath>
      <w:r>
        <w:rPr>
          <w:rFonts w:ascii="Times New Roman" w:hAnsi="Times New Roman" w:eastAsia="宋体" w:cs="Times New Roman"/>
          <w:szCs w:val="21"/>
        </w:rPr>
        <w:t>，(3)式中</w:t>
      </w:r>
      <m:oMath>
        <m:sSub>
          <m:sSubPr>
            <m:ctrlPr>
              <w:rPr>
                <w:rFonts w:ascii="Cambria Math" w:hAnsi="Cambria Math" w:eastAsia="宋体" w:cs="Times New Roman"/>
                <w:i/>
                <w:szCs w:val="21"/>
              </w:rPr>
            </m:ctrlPr>
          </m:sSubPr>
          <m:e>
            <m:r>
              <m:rPr/>
              <w:rPr>
                <w:rFonts w:ascii="Cambria Math" w:hAnsi="Cambria Math" w:eastAsia="宋体" w:cs="Times New Roman"/>
                <w:szCs w:val="21"/>
              </w:rPr>
              <m:t>p</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oMath>
      <w:r>
        <w:rPr>
          <w:rFonts w:ascii="Times New Roman" w:hAnsi="Times New Roman" w:eastAsia="宋体" w:cs="Times New Roman"/>
          <w:szCs w:val="21"/>
        </w:rPr>
        <w:t>为(4)，如下：</w:t>
      </w:r>
    </w:p>
    <w:p>
      <w:pPr>
        <w:spacing w:line="360" w:lineRule="auto"/>
        <w:ind w:firstLine="420" w:firstLineChars="200"/>
        <w:rPr>
          <w:rFonts w:ascii="Times New Roman" w:hAnsi="Times New Roman" w:eastAsia="宋体" w:cs="Times New Roman"/>
          <w:sz w:val="24"/>
          <w:szCs w:val="24"/>
        </w:rPr>
      </w:pPr>
      <m:oMathPara>
        <m:oMath>
          <m:sSub>
            <m:sSubPr>
              <m:ctrlPr>
                <w:rPr>
                  <w:rFonts w:ascii="Cambria Math" w:hAnsi="Cambria Math" w:eastAsia="宋体" w:cs="Times New Roman"/>
                  <w:i/>
                  <w:szCs w:val="21"/>
                </w:rPr>
              </m:ctrlPr>
            </m:sSubPr>
            <m:e>
              <m:r>
                <m:rPr/>
                <w:rPr>
                  <w:rFonts w:ascii="Cambria Math" w:hAnsi="Cambria Math" w:eastAsia="宋体" w:cs="Times New Roman"/>
                  <w:szCs w:val="21"/>
                </w:rPr>
                <m:t>E</m:t>
              </m:r>
              <m:ctrlPr>
                <w:rPr>
                  <w:rFonts w:ascii="Cambria Math" w:hAnsi="Cambria Math" w:eastAsia="宋体" w:cs="Times New Roman"/>
                  <w:i/>
                  <w:szCs w:val="21"/>
                </w:rPr>
              </m:ctrlPr>
            </m:e>
            <m:sub>
              <m:r>
                <m:rPr/>
                <w:rPr>
                  <w:rFonts w:ascii="Cambria Math" w:hAnsi="Cambria Math" w:eastAsia="宋体" w:cs="Times New Roman"/>
                  <w:szCs w:val="21"/>
                </w:rPr>
                <m:t>j</m:t>
              </m:r>
              <m:ctrlPr>
                <w:rPr>
                  <w:rFonts w:ascii="Cambria Math" w:hAnsi="Cambria Math" w:eastAsia="宋体" w:cs="Times New Roman"/>
                  <w:i/>
                  <w:szCs w:val="21"/>
                </w:rPr>
              </m:ctrlPr>
            </m:sub>
          </m:sSub>
          <m:r>
            <m:rPr/>
            <w:rPr>
              <w:rFonts w:ascii="Cambria Math" w:hAnsi="Cambria Math" w:eastAsia="宋体" w:cs="Times New Roman"/>
              <w:szCs w:val="21"/>
            </w:rPr>
            <m:t>=−</m:t>
          </m:r>
          <m:func>
            <m:funcPr>
              <m:ctrlPr>
                <w:rPr>
                  <w:rFonts w:ascii="Cambria Math" w:hAnsi="Cambria Math" w:eastAsia="宋体" w:cs="Times New Roman"/>
                  <w:i/>
                  <w:szCs w:val="21"/>
                </w:rPr>
              </m:ctrlPr>
            </m:funcPr>
            <m:fName>
              <m:r>
                <m:rPr/>
                <w:rPr>
                  <w:rFonts w:ascii="Cambria Math" w:hAnsi="Cambria Math" w:eastAsia="宋体" w:cs="Times New Roman"/>
                  <w:szCs w:val="21"/>
                </w:rPr>
                <m:t>ln</m:t>
              </m:r>
              <m:ctrlPr>
                <w:rPr>
                  <w:rFonts w:ascii="Cambria Math" w:hAnsi="Cambria Math" w:eastAsia="宋体" w:cs="Times New Roman"/>
                  <w:i/>
                  <w:szCs w:val="21"/>
                </w:rPr>
              </m:ctrlPr>
            </m:fName>
            <m:e>
              <m:sSup>
                <m:sSupPr>
                  <m:ctrlPr>
                    <w:rPr>
                      <w:rFonts w:ascii="Cambria Math" w:hAnsi="Cambria Math" w:eastAsia="宋体" w:cs="Times New Roman"/>
                      <w:i/>
                      <w:szCs w:val="21"/>
                    </w:rPr>
                  </m:ctrlPr>
                </m:sSupPr>
                <m:e>
                  <m:d>
                    <m:dPr>
                      <m:ctrlPr>
                        <w:rPr>
                          <w:rFonts w:ascii="Cambria Math" w:hAnsi="Cambria Math" w:eastAsia="宋体" w:cs="Times New Roman"/>
                          <w:i/>
                          <w:szCs w:val="21"/>
                        </w:rPr>
                      </m:ctrlPr>
                    </m:dPr>
                    <m:e>
                      <m:r>
                        <m:rPr/>
                        <w:rPr>
                          <w:rFonts w:ascii="Cambria Math" w:hAnsi="Cambria Math" w:eastAsia="宋体" w:cs="Times New Roman"/>
                          <w:szCs w:val="21"/>
                        </w:rPr>
                        <m:t>n</m:t>
                      </m:r>
                      <m:ctrlPr>
                        <w:rPr>
                          <w:rFonts w:ascii="Cambria Math" w:hAnsi="Cambria Math" w:eastAsia="宋体" w:cs="Times New Roman"/>
                          <w:i/>
                          <w:szCs w:val="21"/>
                        </w:rPr>
                      </m:ctrlPr>
                    </m:e>
                  </m:d>
                  <m:ctrlPr>
                    <w:rPr>
                      <w:rFonts w:ascii="Cambria Math" w:hAnsi="Cambria Math" w:eastAsia="宋体" w:cs="Times New Roman"/>
                      <w:i/>
                      <w:szCs w:val="21"/>
                    </w:rPr>
                  </m:ctrlPr>
                </m:e>
                <m:sup>
                  <m:r>
                    <m:rPr/>
                    <w:rPr>
                      <w:rFonts w:ascii="Cambria Math" w:hAnsi="Cambria Math" w:eastAsia="宋体" w:cs="Times New Roman"/>
                      <w:szCs w:val="21"/>
                    </w:rPr>
                    <m:t>−1</m:t>
                  </m:r>
                  <m:ctrlPr>
                    <w:rPr>
                      <w:rFonts w:ascii="Cambria Math" w:hAnsi="Cambria Math" w:eastAsia="宋体" w:cs="Times New Roman"/>
                      <w:i/>
                      <w:szCs w:val="21"/>
                    </w:rPr>
                  </m:ctrlPr>
                </m:sup>
              </m:sSup>
              <m:nary>
                <m:naryPr>
                  <m:chr m:val="∑"/>
                  <m:limLoc m:val="undOvr"/>
                  <m:ctrlPr>
                    <w:rPr>
                      <w:rFonts w:ascii="Cambria Math" w:hAnsi="Cambria Math" w:eastAsia="宋体" w:cs="Times New Roman"/>
                      <w:i/>
                      <w:szCs w:val="21"/>
                    </w:rPr>
                  </m:ctrlPr>
                </m:naryPr>
                <m:sub>
                  <m:r>
                    <m:rPr/>
                    <w:rPr>
                      <w:rFonts w:ascii="Cambria Math" w:hAnsi="Cambria Math" w:eastAsia="宋体" w:cs="Times New Roman"/>
                      <w:szCs w:val="21"/>
                    </w:rPr>
                    <m:t>i=1</m:t>
                  </m:r>
                  <m:ctrlPr>
                    <w:rPr>
                      <w:rFonts w:ascii="Cambria Math" w:hAnsi="Cambria Math" w:eastAsia="宋体" w:cs="Times New Roman"/>
                      <w:i/>
                      <w:szCs w:val="21"/>
                    </w:rPr>
                  </m:ctrlPr>
                </m:sub>
                <m:sup>
                  <m:r>
                    <m:rPr/>
                    <w:rPr>
                      <w:rFonts w:ascii="Cambria Math" w:hAnsi="Cambria Math" w:eastAsia="宋体" w:cs="Times New Roman"/>
                      <w:szCs w:val="21"/>
                    </w:rPr>
                    <m:t>n</m:t>
                  </m:r>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eastAsia="宋体" w:cs="Times New Roman"/>
                          <w:szCs w:val="21"/>
                        </w:rPr>
                        <m:t>p</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func>
                    <m:funcPr>
                      <m:ctrlPr>
                        <w:rPr>
                          <w:rFonts w:ascii="Cambria Math" w:hAnsi="Cambria Math" w:eastAsia="宋体" w:cs="Times New Roman"/>
                          <w:i/>
                          <w:szCs w:val="21"/>
                        </w:rPr>
                      </m:ctrlPr>
                    </m:funcPr>
                    <m:fName>
                      <m:r>
                        <m:rPr/>
                        <w:rPr>
                          <w:rFonts w:ascii="Cambria Math" w:hAnsi="Cambria Math" w:eastAsia="宋体" w:cs="Times New Roman"/>
                          <w:szCs w:val="21"/>
                        </w:rPr>
                        <m:t>ln</m:t>
                      </m:r>
                      <m:ctrlPr>
                        <w:rPr>
                          <w:rFonts w:ascii="Cambria Math" w:hAnsi="Cambria Math" w:eastAsia="宋体" w:cs="Times New Roman"/>
                          <w:i/>
                          <w:szCs w:val="21"/>
                        </w:rPr>
                      </m:ctrlPr>
                    </m:fName>
                    <m:e>
                      <m:sSub>
                        <m:sSubPr>
                          <m:ctrlPr>
                            <w:rPr>
                              <w:rFonts w:ascii="Cambria Math" w:hAnsi="Cambria Math" w:eastAsia="宋体" w:cs="Times New Roman"/>
                              <w:i/>
                              <w:szCs w:val="21"/>
                            </w:rPr>
                          </m:ctrlPr>
                        </m:sSubPr>
                        <m:e>
                          <m:r>
                            <m:rPr/>
                            <w:rPr>
                              <w:rFonts w:ascii="Cambria Math" w:hAnsi="Cambria Math" w:eastAsia="宋体" w:cs="Times New Roman"/>
                              <w:szCs w:val="21"/>
                            </w:rPr>
                            <m:t>p</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ctrlPr>
                        <w:rPr>
                          <w:rFonts w:ascii="Cambria Math" w:hAnsi="Cambria Math" w:eastAsia="宋体" w:cs="Times New Roman"/>
                          <w:i/>
                          <w:szCs w:val="21"/>
                        </w:rPr>
                      </m:ctrlPr>
                    </m:e>
                  </m:func>
                  <m:ctrlPr>
                    <w:rPr>
                      <w:rFonts w:ascii="Cambria Math" w:hAnsi="Cambria Math" w:eastAsia="宋体" w:cs="Times New Roman"/>
                      <w:i/>
                      <w:szCs w:val="21"/>
                    </w:rPr>
                  </m:ctrlPr>
                </m:e>
              </m:nary>
              <m:ctrlPr>
                <w:rPr>
                  <w:rFonts w:ascii="Cambria Math" w:hAnsi="Cambria Math" w:eastAsia="宋体" w:cs="Times New Roman"/>
                  <w:i/>
                  <w:szCs w:val="21"/>
                </w:rPr>
              </m:ctrlPr>
            </m:e>
          </m:func>
          <m:r>
            <m:rPr>
              <m:sty m:val="p"/>
            </m:rPr>
            <w:rPr>
              <w:rFonts w:ascii="Cambria Math" w:hAnsi="Cambria Math" w:cs="Times New Roman"/>
              <w:szCs w:val="21"/>
            </w:rPr>
            <m:t xml:space="preserve">           (3)</m:t>
          </m:r>
        </m:oMath>
      </m:oMathPara>
    </w:p>
    <w:p>
      <w:pPr>
        <w:spacing w:line="360" w:lineRule="auto"/>
        <w:ind w:firstLine="420" w:firstLineChars="200"/>
        <w:rPr>
          <w:rFonts w:ascii="Times New Roman" w:hAnsi="Times New Roman" w:eastAsia="宋体" w:cs="Times New Roman"/>
          <w:sz w:val="24"/>
          <w:szCs w:val="24"/>
        </w:rPr>
      </w:pPr>
      <m:oMathPara>
        <m:oMath>
          <m:sSub>
            <m:sSubPr>
              <m:ctrlPr>
                <w:rPr>
                  <w:rFonts w:ascii="Cambria Math" w:hAnsi="Cambria Math" w:eastAsia="宋体" w:cs="Times New Roman"/>
                  <w:i/>
                  <w:szCs w:val="21"/>
                </w:rPr>
              </m:ctrlPr>
            </m:sSubPr>
            <m:e>
              <m:r>
                <m:rPr/>
                <w:rPr>
                  <w:rFonts w:ascii="Cambria Math" w:hAnsi="Cambria Math" w:eastAsia="宋体" w:cs="Times New Roman"/>
                  <w:szCs w:val="21"/>
                </w:rPr>
                <m:t>p</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r>
            <m:rPr/>
            <w:rPr>
              <w:rFonts w:ascii="Cambria Math" w:hAnsi="Cambria Math" w:eastAsia="宋体" w:cs="Times New Roman"/>
              <w:szCs w:val="21"/>
            </w:rPr>
            <m:t>=</m:t>
          </m:r>
          <m:f>
            <m:fPr>
              <m:ctrlPr>
                <w:rPr>
                  <w:rFonts w:ascii="Cambria Math" w:hAnsi="Cambria Math" w:eastAsia="宋体" w:cs="Times New Roman"/>
                  <w:i/>
                  <w:szCs w:val="21"/>
                </w:rPr>
              </m:ctrlPr>
            </m:fPr>
            <m:num>
              <m:sSub>
                <m:sSubPr>
                  <m:ctrlPr>
                    <w:rPr>
                      <w:rFonts w:ascii="Cambria Math" w:hAnsi="Cambria Math" w:eastAsia="宋体" w:cs="Times New Roman"/>
                      <w:i/>
                      <w:szCs w:val="21"/>
                    </w:rPr>
                  </m:ctrlPr>
                </m:sSub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ctrlPr>
                <w:rPr>
                  <w:rFonts w:ascii="Cambria Math" w:hAnsi="Cambria Math" w:eastAsia="宋体" w:cs="Times New Roman"/>
                  <w:i/>
                  <w:szCs w:val="21"/>
                </w:rPr>
              </m:ctrlPr>
            </m:num>
            <m:den>
              <m:nary>
                <m:naryPr>
                  <m:chr m:val="∑"/>
                  <m:limLoc m:val="undOvr"/>
                  <m:ctrlPr>
                    <w:rPr>
                      <w:rFonts w:ascii="Cambria Math" w:hAnsi="Cambria Math" w:eastAsia="宋体" w:cs="Times New Roman"/>
                      <w:i/>
                      <w:szCs w:val="21"/>
                    </w:rPr>
                  </m:ctrlPr>
                </m:naryPr>
                <m:sub>
                  <m:r>
                    <m:rPr/>
                    <w:rPr>
                      <w:rFonts w:ascii="Cambria Math" w:hAnsi="Cambria Math" w:eastAsia="宋体" w:cs="Times New Roman"/>
                      <w:szCs w:val="21"/>
                    </w:rPr>
                    <m:t>i=1</m:t>
                  </m:r>
                  <m:ctrlPr>
                    <w:rPr>
                      <w:rFonts w:ascii="Cambria Math" w:hAnsi="Cambria Math" w:eastAsia="宋体" w:cs="Times New Roman"/>
                      <w:i/>
                      <w:szCs w:val="21"/>
                    </w:rPr>
                  </m:ctrlPr>
                </m:sub>
                <m:sup>
                  <m:r>
                    <m:rPr/>
                    <w:rPr>
                      <w:rFonts w:ascii="Cambria Math" w:hAnsi="Cambria Math" w:eastAsia="宋体" w:cs="Times New Roman"/>
                      <w:szCs w:val="21"/>
                    </w:rPr>
                    <m:t>n</m:t>
                  </m:r>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eastAsia="宋体" w:cs="Times New Roman"/>
                          <w:szCs w:val="21"/>
                        </w:rPr>
                        <m:t>Y</m:t>
                      </m:r>
                      <m:ctrlPr>
                        <w:rPr>
                          <w:rFonts w:ascii="Cambria Math" w:hAnsi="Cambria Math" w:eastAsia="宋体" w:cs="Times New Roman"/>
                          <w:i/>
                          <w:szCs w:val="21"/>
                        </w:rPr>
                      </m:ctrlPr>
                    </m:e>
                    <m:sub>
                      <m:r>
                        <m:rPr/>
                        <w:rPr>
                          <w:rFonts w:ascii="Cambria Math" w:hAnsi="Cambria Math" w:eastAsia="宋体" w:cs="Times New Roman"/>
                          <w:szCs w:val="21"/>
                        </w:rPr>
                        <m:t>ij</m:t>
                      </m:r>
                      <m:ctrlPr>
                        <w:rPr>
                          <w:rFonts w:ascii="Cambria Math" w:hAnsi="Cambria Math" w:eastAsia="宋体" w:cs="Times New Roman"/>
                          <w:i/>
                          <w:szCs w:val="21"/>
                        </w:rPr>
                      </m:ctrlPr>
                    </m:sub>
                  </m:sSub>
                  <m:ctrlPr>
                    <w:rPr>
                      <w:rFonts w:ascii="Cambria Math" w:hAnsi="Cambria Math" w:eastAsia="宋体" w:cs="Times New Roman"/>
                      <w:i/>
                      <w:szCs w:val="21"/>
                    </w:rPr>
                  </m:ctrlPr>
                </m:e>
              </m:nary>
              <m:ctrlPr>
                <w:rPr>
                  <w:rFonts w:ascii="Cambria Math" w:hAnsi="Cambria Math" w:eastAsia="宋体" w:cs="Times New Roman"/>
                  <w:i/>
                  <w:szCs w:val="21"/>
                </w:rPr>
              </m:ctrlPr>
            </m:den>
          </m:f>
          <m:r>
            <m:rPr>
              <m:sty m:val="p"/>
            </m:rPr>
            <w:rPr>
              <w:rFonts w:ascii="Cambria Math" w:hAnsi="Cambria Math" w:cs="Times New Roman"/>
              <w:szCs w:val="21"/>
            </w:rPr>
            <m:t xml:space="preserve">           (4)</m:t>
          </m:r>
        </m:oMath>
      </m:oMathPara>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（iii）确定各指标权重</w:t>
      </w:r>
    </w:p>
    <w:p>
      <w:pPr>
        <w:spacing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t>各指标权重为(5)，如下：</w:t>
      </w:r>
    </w:p>
    <w:p>
      <w:pPr>
        <w:spacing w:line="360" w:lineRule="auto"/>
        <w:ind w:firstLine="420" w:firstLineChars="200"/>
        <w:rPr>
          <w:rFonts w:ascii="Times New Roman" w:hAnsi="Times New Roman" w:eastAsia="宋体" w:cs="Times New Roman"/>
          <w:i/>
          <w:szCs w:val="21"/>
        </w:rPr>
      </w:pPr>
      <m:oMathPara>
        <m:oMath>
          <m:sSub>
            <m:sSubPr>
              <m:ctrlPr>
                <w:rPr>
                  <w:rFonts w:ascii="Cambria Math" w:hAnsi="Cambria Math" w:eastAsia="宋体" w:cs="Times New Roman"/>
                  <w:i/>
                  <w:szCs w:val="21"/>
                </w:rPr>
              </m:ctrlPr>
            </m:sSubPr>
            <m:e>
              <m:r>
                <m:rPr/>
                <w:rPr>
                  <w:rFonts w:ascii="Cambria Math" w:hAnsi="Cambria Math" w:eastAsia="宋体" w:cs="Times New Roman"/>
                  <w:szCs w:val="21"/>
                </w:rPr>
                <m:t>W</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r>
            <m:rPr/>
            <w:rPr>
              <w:rFonts w:ascii="Cambria Math" w:hAnsi="Cambria Math" w:eastAsia="宋体" w:cs="Times New Roman"/>
              <w:szCs w:val="21"/>
            </w:rPr>
            <m:t>=</m:t>
          </m:r>
          <m:f>
            <m:fPr>
              <m:ctrlPr>
                <w:rPr>
                  <w:rFonts w:ascii="Cambria Math" w:hAnsi="Cambria Math" w:eastAsia="宋体" w:cs="Times New Roman"/>
                  <w:i/>
                  <w:szCs w:val="21"/>
                </w:rPr>
              </m:ctrlPr>
            </m:fPr>
            <m:num>
              <m:r>
                <m:rPr/>
                <w:rPr>
                  <w:rFonts w:ascii="Cambria Math" w:hAnsi="Cambria Math" w:eastAsia="宋体" w:cs="Times New Roman"/>
                  <w:szCs w:val="21"/>
                </w:rPr>
                <m:t>1−</m:t>
              </m:r>
              <m:sSub>
                <m:sSubPr>
                  <m:ctrlPr>
                    <w:rPr>
                      <w:rFonts w:ascii="Cambria Math" w:hAnsi="Cambria Math" w:eastAsia="宋体" w:cs="Times New Roman"/>
                      <w:i/>
                      <w:szCs w:val="21"/>
                    </w:rPr>
                  </m:ctrlPr>
                </m:sSubPr>
                <m:e>
                  <m:r>
                    <m:rPr/>
                    <w:rPr>
                      <w:rFonts w:ascii="Cambria Math" w:hAnsi="Cambria Math" w:eastAsia="宋体" w:cs="Times New Roman"/>
                      <w:szCs w:val="21"/>
                    </w:rPr>
                    <m:t>E</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num>
            <m:den>
              <m:r>
                <m:rPr/>
                <w:rPr>
                  <w:rFonts w:ascii="Cambria Math" w:hAnsi="Cambria Math" w:eastAsia="宋体" w:cs="Times New Roman"/>
                  <w:szCs w:val="21"/>
                </w:rPr>
                <m:t>k−</m:t>
              </m:r>
              <m:nary>
                <m:naryPr>
                  <m:chr m:val="∑"/>
                  <m:limLoc m:val="undOvr"/>
                  <m:subHide m:val="1"/>
                  <m:supHide m:val="1"/>
                  <m:ctrlPr>
                    <w:rPr>
                      <w:rFonts w:ascii="Cambria Math" w:hAnsi="Cambria Math" w:eastAsia="宋体" w:cs="Times New Roman"/>
                      <w:i/>
                      <w:szCs w:val="21"/>
                    </w:rPr>
                  </m:ctrlPr>
                </m:naryPr>
                <m:sub>
                  <m:ctrlPr>
                    <w:rPr>
                      <w:rFonts w:ascii="Cambria Math" w:hAnsi="Cambria Math" w:eastAsia="宋体" w:cs="Times New Roman"/>
                      <w:i/>
                      <w:szCs w:val="21"/>
                    </w:rPr>
                  </m:ctrlPr>
                </m:sub>
                <m:sup>
                  <m:ctrlPr>
                    <w:rPr>
                      <w:rFonts w:ascii="Cambria Math" w:hAnsi="Cambria Math" w:eastAsia="宋体" w:cs="Times New Roman"/>
                      <w:i/>
                      <w:szCs w:val="21"/>
                    </w:rPr>
                  </m:ctrlPr>
                </m:sup>
                <m:e>
                  <m:sSub>
                    <m:sSubPr>
                      <m:ctrlPr>
                        <w:rPr>
                          <w:rFonts w:ascii="Cambria Math" w:hAnsi="Cambria Math" w:eastAsia="宋体" w:cs="Times New Roman"/>
                          <w:i/>
                          <w:szCs w:val="21"/>
                        </w:rPr>
                      </m:ctrlPr>
                    </m:sSubPr>
                    <m:e>
                      <m:r>
                        <m:rPr/>
                        <w:rPr>
                          <w:rFonts w:ascii="Cambria Math" w:hAnsi="Cambria Math" w:eastAsia="宋体" w:cs="Times New Roman"/>
                          <w:szCs w:val="21"/>
                        </w:rPr>
                        <m:t>E</m:t>
                      </m:r>
                      <m:ctrlPr>
                        <w:rPr>
                          <w:rFonts w:ascii="Cambria Math" w:hAnsi="Cambria Math" w:eastAsia="宋体" w:cs="Times New Roman"/>
                          <w:i/>
                          <w:szCs w:val="21"/>
                        </w:rPr>
                      </m:ctrlPr>
                    </m:e>
                    <m:sub>
                      <m:r>
                        <m:rPr/>
                        <w:rPr>
                          <w:rFonts w:ascii="Cambria Math" w:hAnsi="Cambria Math" w:eastAsia="宋体" w:cs="Times New Roman"/>
                          <w:szCs w:val="21"/>
                        </w:rPr>
                        <m:t>i</m:t>
                      </m:r>
                      <m:ctrlPr>
                        <w:rPr>
                          <w:rFonts w:ascii="Cambria Math" w:hAnsi="Cambria Math" w:eastAsia="宋体" w:cs="Times New Roman"/>
                          <w:i/>
                          <w:szCs w:val="21"/>
                        </w:rPr>
                      </m:ctrlPr>
                    </m:sub>
                  </m:sSub>
                  <m:ctrlPr>
                    <w:rPr>
                      <w:rFonts w:ascii="Cambria Math" w:hAnsi="Cambria Math" w:eastAsia="宋体" w:cs="Times New Roman"/>
                      <w:i/>
                      <w:szCs w:val="21"/>
                    </w:rPr>
                  </m:ctrlPr>
                </m:e>
              </m:nary>
              <m:ctrlPr>
                <w:rPr>
                  <w:rFonts w:ascii="Cambria Math" w:hAnsi="Cambria Math" w:eastAsia="宋体" w:cs="Times New Roman"/>
                  <w:i/>
                  <w:szCs w:val="21"/>
                </w:rPr>
              </m:ctrlPr>
            </m:den>
          </m:f>
          <m:r>
            <m:rPr>
              <m:sty m:val="p"/>
            </m:rPr>
            <w:rPr>
              <w:rFonts w:ascii="Cambria Math" w:hAnsi="Cambria Math" w:cs="Times New Roman"/>
              <w:szCs w:val="21"/>
            </w:rPr>
            <m:t xml:space="preserve">           (5)</m:t>
          </m:r>
        </m:oMath>
      </m:oMathPara>
    </w:p>
    <w:p>
      <w:pPr>
        <w:pStyle w:val="3"/>
        <w:spacing w:line="240" w:lineRule="auto"/>
        <w:ind w:firstLine="0"/>
        <w:rPr>
          <w:b/>
          <w:sz w:val="28"/>
          <w:szCs w:val="28"/>
        </w:rPr>
      </w:pPr>
    </w:p>
    <w:p>
      <w:pPr>
        <w:pStyle w:val="3"/>
        <w:spacing w:line="240" w:lineRule="auto"/>
        <w:ind w:firstLine="0"/>
        <w:rPr>
          <w:b/>
          <w:sz w:val="28"/>
          <w:szCs w:val="28"/>
        </w:rPr>
      </w:pPr>
      <w:r>
        <w:rPr>
          <w:b/>
          <w:sz w:val="28"/>
          <w:szCs w:val="28"/>
        </w:rPr>
        <w:t>2  结果与分析</w:t>
      </w:r>
    </w:p>
    <w:p>
      <w:pPr>
        <w:pStyle w:val="3"/>
        <w:spacing w:before="60" w:after="60"/>
        <w:ind w:firstLine="0"/>
        <w:rPr>
          <w:b/>
          <w:bCs/>
          <w:sz w:val="21"/>
        </w:rPr>
      </w:pPr>
      <w:r>
        <w:rPr>
          <w:b/>
          <w:bCs/>
          <w:sz w:val="21"/>
        </w:rPr>
        <w:t>2.1 资源枯竭型城市转型评价指标体系的构建</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城市的发展受经济、社会、生态等多方面因素的影响，对于资源枯竭型城市的评价指标体系同样也不例外。本文评价指标体系的构建参考了国务院文件以及杜春丽</w:t>
      </w:r>
      <w:r>
        <w:rPr>
          <w:rFonts w:ascii="Times New Roman" w:hAnsi="Times New Roman" w:eastAsia="宋体" w:cs="Times New Roman"/>
          <w:sz w:val="24"/>
          <w:szCs w:val="24"/>
          <w:vertAlign w:val="superscript"/>
        </w:rPr>
        <w:t>[11]</w:t>
      </w:r>
      <w:r>
        <w:rPr>
          <w:rFonts w:ascii="Times New Roman" w:hAnsi="Times New Roman" w:eastAsia="宋体" w:cs="Times New Roman"/>
          <w:szCs w:val="21"/>
        </w:rPr>
        <w:t>等学者的有关方案与思路，其中准则层包含经济发展、社会民生、生态环境三个方面。经济发展可以反映某城市的经济水平、经济外向度、产业结构是否合理，以及财政状况即当地政府的经济能力、对财政支出的分配等；社会民生主要体现的是人民生活条件是否改善，基础设施建设是否达标，社会福利保障制度是否完善；生态环境表现出当地的生态可持续发展能力强弱，包括空气质量、绿化覆盖率、污染治理能力等。具体指标如表2所示。</w:t>
      </w:r>
    </w:p>
    <w:p>
      <w:pPr>
        <w:spacing w:before="160" w:after="80" w:line="200" w:lineRule="exact"/>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表2  资源枯竭型城市转型评价指标体系</w:t>
      </w:r>
    </w:p>
    <w:tbl>
      <w:tblPr>
        <w:tblStyle w:val="10"/>
        <w:tblW w:w="10772" w:type="dxa"/>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1"/>
        <w:gridCol w:w="1417"/>
        <w:gridCol w:w="1418"/>
        <w:gridCol w:w="4111"/>
        <w:gridCol w:w="735"/>
        <w:gridCol w:w="1102"/>
        <w:gridCol w:w="1138"/>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tcBorders>
              <w:top w:val="single" w:color="008000" w:sz="12" w:space="0"/>
              <w:left w:val="nil"/>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目标层</w:t>
            </w:r>
          </w:p>
        </w:tc>
        <w:tc>
          <w:tcPr>
            <w:tcW w:w="1417"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准则层</w:t>
            </w:r>
          </w:p>
        </w:tc>
        <w:tc>
          <w:tcPr>
            <w:tcW w:w="1418"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因素层</w:t>
            </w:r>
          </w:p>
        </w:tc>
        <w:tc>
          <w:tcPr>
            <w:tcW w:w="4111"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指标层</w:t>
            </w:r>
          </w:p>
        </w:tc>
        <w:tc>
          <w:tcPr>
            <w:tcW w:w="735"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属性</w:t>
            </w:r>
          </w:p>
        </w:tc>
        <w:tc>
          <w:tcPr>
            <w:tcW w:w="1102"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权重(%)</w:t>
            </w:r>
          </w:p>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(2009年)</w:t>
            </w:r>
          </w:p>
        </w:tc>
        <w:tc>
          <w:tcPr>
            <w:tcW w:w="1138"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权重(%)</w:t>
            </w:r>
          </w:p>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(2019年)</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restart"/>
            <w:tcBorders>
              <w:top w:val="single" w:color="008000" w:sz="6" w:space="0"/>
              <w:left w:val="nil"/>
              <w:right w:val="nil"/>
              <w:insideV w:val="nil"/>
            </w:tcBorders>
            <w:shd w:val="clear" w:color="auto" w:fill="FFFFFF" w:themeFill="background1"/>
            <w:textDirection w:val="tbLrV"/>
            <w:vAlign w:val="center"/>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资源枯竭型城市转型评价指标体系</w:t>
            </w:r>
          </w:p>
        </w:tc>
        <w:tc>
          <w:tcPr>
            <w:tcW w:w="1417" w:type="dxa"/>
            <w:vMerge w:val="restart"/>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A经济发展</w:t>
            </w:r>
          </w:p>
          <w:p>
            <w:pPr>
              <w:pStyle w:val="2"/>
              <w:spacing w:line="0" w:lineRule="atLeast"/>
              <w:ind w:firstLine="0"/>
              <w:jc w:val="center"/>
              <w:rPr>
                <w:rFonts w:eastAsia="楷体"/>
                <w:color w:val="auto"/>
                <w:sz w:val="18"/>
                <w:szCs w:val="18"/>
              </w:rPr>
            </w:pPr>
            <w:r>
              <w:rPr>
                <w:rFonts w:eastAsia="楷体"/>
                <w:color w:val="auto"/>
                <w:sz w:val="18"/>
                <w:szCs w:val="18"/>
              </w:rPr>
              <w:t>（2009年：0.543</w:t>
            </w:r>
          </w:p>
          <w:p>
            <w:pPr>
              <w:pStyle w:val="2"/>
              <w:spacing w:line="0" w:lineRule="atLeast"/>
              <w:ind w:firstLine="0"/>
              <w:jc w:val="center"/>
              <w:rPr>
                <w:rFonts w:eastAsia="楷体"/>
                <w:color w:val="auto"/>
                <w:sz w:val="18"/>
                <w:szCs w:val="18"/>
              </w:rPr>
            </w:pPr>
            <w:r>
              <w:rPr>
                <w:rFonts w:eastAsia="楷体"/>
                <w:color w:val="auto"/>
                <w:sz w:val="18"/>
                <w:szCs w:val="18"/>
              </w:rPr>
              <w:t>2019年：0.440）</w:t>
            </w:r>
          </w:p>
        </w:tc>
        <w:tc>
          <w:tcPr>
            <w:tcW w:w="1418" w:type="dxa"/>
            <w:vMerge w:val="restart"/>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1</w:t>
            </w:r>
            <w:r>
              <w:rPr>
                <w:rFonts w:eastAsia="楷体"/>
                <w:color w:val="auto"/>
                <w:sz w:val="18"/>
                <w:szCs w:val="18"/>
              </w:rPr>
              <w:t>经济水平</w:t>
            </w:r>
          </w:p>
        </w:tc>
        <w:tc>
          <w:tcPr>
            <w:tcW w:w="4111"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11</w:t>
            </w:r>
            <w:r>
              <w:rPr>
                <w:rFonts w:eastAsia="楷体"/>
                <w:color w:val="auto"/>
                <w:sz w:val="18"/>
                <w:szCs w:val="18"/>
              </w:rPr>
              <w:t>人均GDP（万元/人）</w:t>
            </w:r>
          </w:p>
        </w:tc>
        <w:tc>
          <w:tcPr>
            <w:tcW w:w="735"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10.62</w:t>
            </w:r>
          </w:p>
        </w:tc>
        <w:tc>
          <w:tcPr>
            <w:tcW w:w="1138"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8.96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12</w:t>
            </w:r>
            <w:r>
              <w:rPr>
                <w:rFonts w:eastAsia="楷体"/>
                <w:color w:val="auto"/>
                <w:sz w:val="18"/>
                <w:szCs w:val="18"/>
              </w:rPr>
              <w:t>GDP年增长速度（%）</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8.92</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2.51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2</w:t>
            </w:r>
            <w:r>
              <w:rPr>
                <w:rFonts w:eastAsia="楷体"/>
                <w:color w:val="auto"/>
                <w:sz w:val="18"/>
                <w:szCs w:val="18"/>
              </w:rPr>
              <w:t>经济外向度</w:t>
            </w: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21</w:t>
            </w:r>
            <w:r>
              <w:rPr>
                <w:rFonts w:eastAsia="楷体"/>
                <w:color w:val="auto"/>
                <w:sz w:val="18"/>
                <w:szCs w:val="18"/>
              </w:rPr>
              <w:t>外贸出口占GDP比重（%）</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7.93</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10.91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3</w:t>
            </w:r>
            <w:r>
              <w:rPr>
                <w:rFonts w:eastAsia="楷体"/>
                <w:color w:val="auto"/>
                <w:sz w:val="18"/>
                <w:szCs w:val="18"/>
              </w:rPr>
              <w:t>产业结构</w:t>
            </w: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31</w:t>
            </w:r>
            <w:r>
              <w:rPr>
                <w:rFonts w:eastAsia="楷体"/>
                <w:color w:val="auto"/>
                <w:sz w:val="18"/>
                <w:szCs w:val="18"/>
              </w:rPr>
              <w:t>第三产业产值与第二产业产值之比（%）</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6.61</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7.91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4</w:t>
            </w:r>
            <w:r>
              <w:rPr>
                <w:rFonts w:eastAsia="楷体"/>
                <w:color w:val="auto"/>
                <w:sz w:val="18"/>
                <w:szCs w:val="18"/>
              </w:rPr>
              <w:t>金融投资</w:t>
            </w: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41</w:t>
            </w:r>
            <w:r>
              <w:rPr>
                <w:rFonts w:eastAsia="楷体"/>
                <w:color w:val="auto"/>
                <w:sz w:val="18"/>
                <w:szCs w:val="18"/>
              </w:rPr>
              <w:t>固定资产投资增长率（%）</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7.77</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3.46</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restart"/>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5</w:t>
            </w:r>
            <w:r>
              <w:rPr>
                <w:rFonts w:eastAsia="楷体"/>
                <w:color w:val="auto"/>
                <w:sz w:val="18"/>
                <w:szCs w:val="18"/>
              </w:rPr>
              <w:t>财政状况</w:t>
            </w: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51</w:t>
            </w:r>
            <w:r>
              <w:rPr>
                <w:rFonts w:eastAsia="楷体"/>
                <w:color w:val="auto"/>
                <w:sz w:val="18"/>
                <w:szCs w:val="18"/>
              </w:rPr>
              <w:t>地方财政收入占GDP比重（%）</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9.77</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6.80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r>
              <w:rPr>
                <w:rFonts w:eastAsia="楷体"/>
                <w:color w:val="auto"/>
                <w:sz w:val="18"/>
                <w:szCs w:val="18"/>
                <w:vertAlign w:val="subscript"/>
              </w:rPr>
              <w:t>52</w:t>
            </w:r>
            <w:r>
              <w:rPr>
                <w:rFonts w:eastAsia="楷体"/>
                <w:color w:val="auto"/>
                <w:sz w:val="18"/>
                <w:szCs w:val="18"/>
              </w:rPr>
              <w:t>教育占公共财政支出比重（%）</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2.72</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3.41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restart"/>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B社会民生（2009年：</w:t>
            </w:r>
          </w:p>
          <w:p>
            <w:pPr>
              <w:pStyle w:val="2"/>
              <w:spacing w:line="0" w:lineRule="atLeast"/>
              <w:ind w:firstLine="0"/>
              <w:jc w:val="center"/>
              <w:rPr>
                <w:rFonts w:eastAsia="楷体"/>
                <w:color w:val="auto"/>
                <w:sz w:val="18"/>
                <w:szCs w:val="18"/>
              </w:rPr>
            </w:pPr>
            <w:r>
              <w:rPr>
                <w:rFonts w:eastAsia="楷体"/>
                <w:color w:val="auto"/>
                <w:sz w:val="18"/>
                <w:szCs w:val="18"/>
              </w:rPr>
              <w:t>0.363</w:t>
            </w:r>
          </w:p>
          <w:p>
            <w:pPr>
              <w:pStyle w:val="2"/>
              <w:spacing w:line="0" w:lineRule="atLeast"/>
              <w:ind w:firstLine="0"/>
              <w:jc w:val="center"/>
              <w:rPr>
                <w:rFonts w:eastAsia="楷体"/>
                <w:color w:val="auto"/>
                <w:sz w:val="18"/>
                <w:szCs w:val="18"/>
              </w:rPr>
            </w:pPr>
            <w:r>
              <w:rPr>
                <w:rFonts w:eastAsia="楷体"/>
                <w:color w:val="auto"/>
                <w:sz w:val="18"/>
                <w:szCs w:val="18"/>
              </w:rPr>
              <w:t>2019年：</w:t>
            </w:r>
          </w:p>
          <w:p>
            <w:pPr>
              <w:pStyle w:val="2"/>
              <w:spacing w:line="0" w:lineRule="atLeast"/>
              <w:ind w:firstLine="0"/>
              <w:jc w:val="center"/>
              <w:rPr>
                <w:rFonts w:eastAsia="楷体"/>
                <w:color w:val="auto"/>
                <w:sz w:val="18"/>
                <w:szCs w:val="18"/>
              </w:rPr>
            </w:pPr>
            <w:r>
              <w:rPr>
                <w:rFonts w:eastAsia="楷体"/>
                <w:color w:val="auto"/>
                <w:sz w:val="18"/>
                <w:szCs w:val="18"/>
              </w:rPr>
              <w:t>0.475）</w:t>
            </w:r>
          </w:p>
        </w:tc>
        <w:tc>
          <w:tcPr>
            <w:tcW w:w="141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1</w:t>
            </w:r>
            <w:r>
              <w:rPr>
                <w:rFonts w:eastAsia="楷体"/>
                <w:color w:val="auto"/>
                <w:sz w:val="18"/>
                <w:szCs w:val="18"/>
              </w:rPr>
              <w:t>收入水平</w:t>
            </w: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11</w:t>
            </w:r>
            <w:r>
              <w:rPr>
                <w:rFonts w:eastAsia="楷体"/>
                <w:color w:val="auto"/>
                <w:sz w:val="18"/>
                <w:szCs w:val="18"/>
              </w:rPr>
              <w:t>城镇居民可支配收入（元/人）</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2.96</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8.33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restart"/>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2</w:t>
            </w:r>
            <w:r>
              <w:rPr>
                <w:rFonts w:eastAsia="楷体"/>
                <w:color w:val="auto"/>
                <w:sz w:val="18"/>
                <w:szCs w:val="18"/>
              </w:rPr>
              <w:t>基础设施</w:t>
            </w: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21</w:t>
            </w:r>
            <w:r>
              <w:rPr>
                <w:rFonts w:eastAsia="楷体"/>
                <w:color w:val="auto"/>
                <w:sz w:val="18"/>
                <w:szCs w:val="18"/>
              </w:rPr>
              <w:t>人口密度（人/km2）</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10.78</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12.32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22</w:t>
            </w:r>
            <w:r>
              <w:rPr>
                <w:rFonts w:eastAsia="楷体"/>
                <w:color w:val="auto"/>
                <w:sz w:val="18"/>
                <w:szCs w:val="18"/>
              </w:rPr>
              <w:t>人均公共绿地面积（m2/人）</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5.74</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6.12</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23</w:t>
            </w:r>
            <w:r>
              <w:rPr>
                <w:rFonts w:eastAsia="楷体"/>
                <w:color w:val="auto"/>
                <w:sz w:val="18"/>
                <w:szCs w:val="18"/>
              </w:rPr>
              <w:t>人均城市道路面积（m2/人）</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5.16</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9.85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restart"/>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3</w:t>
            </w:r>
            <w:r>
              <w:rPr>
                <w:rFonts w:eastAsia="楷体"/>
                <w:color w:val="auto"/>
                <w:sz w:val="18"/>
                <w:szCs w:val="18"/>
              </w:rPr>
              <w:t>社会保障</w:t>
            </w: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B3</w:t>
            </w:r>
            <w:r>
              <w:rPr>
                <w:rFonts w:eastAsia="楷体"/>
                <w:color w:val="auto"/>
                <w:sz w:val="18"/>
                <w:szCs w:val="18"/>
                <w:vertAlign w:val="subscript"/>
              </w:rPr>
              <w:t>1</w:t>
            </w:r>
            <w:r>
              <w:rPr>
                <w:rFonts w:eastAsia="楷体"/>
                <w:color w:val="auto"/>
                <w:sz w:val="18"/>
                <w:szCs w:val="18"/>
              </w:rPr>
              <w:t>城镇登记失业率（%）</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3.34</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2.99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32</w:t>
            </w:r>
            <w:r>
              <w:rPr>
                <w:rFonts w:eastAsia="楷体"/>
                <w:color w:val="auto"/>
                <w:sz w:val="18"/>
                <w:szCs w:val="18"/>
              </w:rPr>
              <w:t>城镇基本养老保险参保人数增长率（%）</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3.72</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5.15</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r>
              <w:rPr>
                <w:rFonts w:eastAsia="楷体"/>
                <w:color w:val="auto"/>
                <w:sz w:val="18"/>
                <w:szCs w:val="18"/>
                <w:vertAlign w:val="subscript"/>
              </w:rPr>
              <w:t>33</w:t>
            </w:r>
            <w:r>
              <w:rPr>
                <w:rFonts w:eastAsia="楷体"/>
                <w:color w:val="auto"/>
                <w:sz w:val="18"/>
                <w:szCs w:val="18"/>
              </w:rPr>
              <w:t>城镇居民基本医疗保险参保人数增长率（%）</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4.60</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2.73</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restart"/>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C生态环境</w:t>
            </w:r>
          </w:p>
          <w:p>
            <w:pPr>
              <w:pStyle w:val="2"/>
              <w:spacing w:line="0" w:lineRule="atLeast"/>
              <w:ind w:firstLine="0"/>
              <w:jc w:val="center"/>
              <w:rPr>
                <w:rFonts w:eastAsia="楷体"/>
                <w:color w:val="auto"/>
                <w:sz w:val="18"/>
                <w:szCs w:val="18"/>
              </w:rPr>
            </w:pPr>
            <w:r>
              <w:rPr>
                <w:rFonts w:eastAsia="楷体"/>
                <w:color w:val="auto"/>
                <w:sz w:val="18"/>
                <w:szCs w:val="18"/>
              </w:rPr>
              <w:t>（2009年：0.093</w:t>
            </w:r>
          </w:p>
          <w:p>
            <w:pPr>
              <w:pStyle w:val="2"/>
              <w:spacing w:line="0" w:lineRule="atLeast"/>
              <w:ind w:firstLine="0"/>
              <w:jc w:val="center"/>
              <w:rPr>
                <w:rFonts w:eastAsia="楷体"/>
                <w:color w:val="auto"/>
                <w:sz w:val="18"/>
                <w:szCs w:val="18"/>
              </w:rPr>
            </w:pPr>
            <w:r>
              <w:rPr>
                <w:rFonts w:eastAsia="楷体"/>
                <w:color w:val="auto"/>
                <w:sz w:val="18"/>
                <w:szCs w:val="18"/>
              </w:rPr>
              <w:t>2019年：</w:t>
            </w:r>
          </w:p>
          <w:p>
            <w:pPr>
              <w:pStyle w:val="2"/>
              <w:spacing w:line="0" w:lineRule="atLeast"/>
              <w:ind w:firstLine="0"/>
              <w:jc w:val="center"/>
              <w:rPr>
                <w:rFonts w:eastAsia="楷体"/>
                <w:color w:val="auto"/>
                <w:sz w:val="18"/>
                <w:szCs w:val="18"/>
              </w:rPr>
            </w:pPr>
            <w:r>
              <w:rPr>
                <w:rFonts w:eastAsia="楷体"/>
                <w:color w:val="auto"/>
                <w:sz w:val="18"/>
                <w:szCs w:val="18"/>
              </w:rPr>
              <w:t>0.085）</w:t>
            </w:r>
          </w:p>
        </w:tc>
        <w:tc>
          <w:tcPr>
            <w:tcW w:w="141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w:t>
            </w:r>
            <w:r>
              <w:rPr>
                <w:rFonts w:eastAsia="楷体"/>
                <w:color w:val="auto"/>
                <w:sz w:val="18"/>
                <w:szCs w:val="18"/>
                <w:vertAlign w:val="subscript"/>
              </w:rPr>
              <w:t>1</w:t>
            </w:r>
            <w:r>
              <w:rPr>
                <w:rFonts w:eastAsia="楷体"/>
                <w:color w:val="auto"/>
                <w:sz w:val="18"/>
                <w:szCs w:val="18"/>
              </w:rPr>
              <w:t>环境污染</w:t>
            </w:r>
          </w:p>
        </w:tc>
        <w:tc>
          <w:tcPr>
            <w:tcW w:w="411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w:t>
            </w:r>
            <w:r>
              <w:rPr>
                <w:rFonts w:eastAsia="楷体"/>
                <w:color w:val="auto"/>
                <w:sz w:val="18"/>
                <w:szCs w:val="18"/>
                <w:vertAlign w:val="subscript"/>
              </w:rPr>
              <w:t>11</w:t>
            </w:r>
            <w:r>
              <w:rPr>
                <w:rFonts w:eastAsia="楷体"/>
                <w:color w:val="auto"/>
                <w:sz w:val="18"/>
                <w:szCs w:val="18"/>
              </w:rPr>
              <w:t>中心城区空气质量优良天数达标率（%）</w:t>
            </w:r>
          </w:p>
        </w:tc>
        <w:tc>
          <w:tcPr>
            <w:tcW w:w="735"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2.04</w:t>
            </w:r>
          </w:p>
        </w:tc>
        <w:tc>
          <w:tcPr>
            <w:tcW w:w="1138"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3.50</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69" w:hRule="atLeast"/>
          <w:jc w:val="center"/>
        </w:trPr>
        <w:tc>
          <w:tcPr>
            <w:tcW w:w="851" w:type="dxa"/>
            <w:vMerge w:val="continue"/>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restart"/>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w:t>
            </w:r>
            <w:r>
              <w:rPr>
                <w:rFonts w:eastAsia="楷体"/>
                <w:color w:val="auto"/>
                <w:sz w:val="18"/>
                <w:szCs w:val="18"/>
                <w:vertAlign w:val="subscript"/>
              </w:rPr>
              <w:t>2</w:t>
            </w:r>
            <w:r>
              <w:rPr>
                <w:rFonts w:eastAsia="楷体"/>
                <w:color w:val="auto"/>
                <w:sz w:val="18"/>
                <w:szCs w:val="18"/>
              </w:rPr>
              <w:t>治理能力</w:t>
            </w:r>
          </w:p>
        </w:tc>
        <w:tc>
          <w:tcPr>
            <w:tcW w:w="411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w:t>
            </w:r>
            <w:r>
              <w:rPr>
                <w:rFonts w:eastAsia="楷体"/>
                <w:color w:val="auto"/>
                <w:sz w:val="18"/>
                <w:szCs w:val="18"/>
                <w:vertAlign w:val="subscript"/>
              </w:rPr>
              <w:t>21</w:t>
            </w:r>
            <w:r>
              <w:rPr>
                <w:rFonts w:eastAsia="楷体"/>
                <w:color w:val="auto"/>
                <w:sz w:val="18"/>
                <w:szCs w:val="18"/>
              </w:rPr>
              <w:t>城市污水处理率（%）</w:t>
            </w:r>
          </w:p>
        </w:tc>
        <w:tc>
          <w:tcPr>
            <w:tcW w:w="735"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4.64</w:t>
            </w:r>
          </w:p>
        </w:tc>
        <w:tc>
          <w:tcPr>
            <w:tcW w:w="1138"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2.28</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851" w:type="dxa"/>
            <w:vMerge w:val="continue"/>
            <w:tcBorders>
              <w:left w:val="nil"/>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p>
        </w:tc>
        <w:tc>
          <w:tcPr>
            <w:tcW w:w="1417" w:type="dxa"/>
            <w:vMerge w:val="continue"/>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1418" w:type="dxa"/>
            <w:vMerge w:val="continue"/>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p>
        </w:tc>
        <w:tc>
          <w:tcPr>
            <w:tcW w:w="4111"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w:t>
            </w:r>
            <w:r>
              <w:rPr>
                <w:rFonts w:eastAsia="楷体"/>
                <w:color w:val="auto"/>
                <w:sz w:val="18"/>
                <w:szCs w:val="18"/>
                <w:vertAlign w:val="subscript"/>
              </w:rPr>
              <w:t>22</w:t>
            </w:r>
            <w:r>
              <w:rPr>
                <w:rFonts w:eastAsia="楷体"/>
                <w:color w:val="auto"/>
                <w:sz w:val="18"/>
                <w:szCs w:val="18"/>
              </w:rPr>
              <w:t>建成区绿化覆盖率（%）</w:t>
            </w:r>
          </w:p>
        </w:tc>
        <w:tc>
          <w:tcPr>
            <w:tcW w:w="735"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w:t>
            </w:r>
          </w:p>
        </w:tc>
        <w:tc>
          <w:tcPr>
            <w:tcW w:w="1102"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9.77</w:t>
            </w:r>
          </w:p>
        </w:tc>
        <w:tc>
          <w:tcPr>
            <w:tcW w:w="1138"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2.76</w:t>
            </w:r>
          </w:p>
        </w:tc>
      </w:tr>
    </w:tbl>
    <w:p>
      <w:pPr>
        <w:pStyle w:val="3"/>
        <w:spacing w:before="60" w:after="60"/>
        <w:ind w:firstLine="0"/>
        <w:rPr>
          <w:b/>
          <w:bCs/>
          <w:sz w:val="21"/>
        </w:rPr>
      </w:pPr>
      <w:r>
        <w:rPr>
          <w:b/>
          <w:bCs/>
          <w:sz w:val="21"/>
        </w:rPr>
        <w:t>2.2 资源枯竭型城市评价分类标准</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根据表2中的指标权重，本文计算了24座资源枯竭型城市以及全国所有城市平均值的各项分值，将资源枯竭型城市与全国平均值得分进行对比，并以全国平均得分为标准，定义了“优”、“较优”、“一般”、“较差”、“差”的结果分类。评分分值范围参考了余建辉</w:t>
      </w:r>
      <w:r>
        <w:rPr>
          <w:rFonts w:ascii="Times New Roman" w:hAnsi="Times New Roman" w:eastAsia="宋体" w:cs="Times New Roman"/>
          <w:sz w:val="24"/>
          <w:szCs w:val="24"/>
          <w:vertAlign w:val="superscript"/>
        </w:rPr>
        <w:t>[12]</w:t>
      </w:r>
      <w:r>
        <w:rPr>
          <w:rFonts w:ascii="Times New Roman" w:hAnsi="Times New Roman" w:eastAsia="宋体" w:cs="Times New Roman"/>
          <w:szCs w:val="21"/>
        </w:rPr>
        <w:t>等学者的方案，并根据最终各城市的得分进行调整优化，如表3所示。</w:t>
      </w:r>
    </w:p>
    <w:p>
      <w:pPr>
        <w:spacing w:before="160" w:after="80" w:line="200" w:lineRule="exact"/>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表3  资源枯竭型城市分类标准</w:t>
      </w:r>
    </w:p>
    <w:tbl>
      <w:tblPr>
        <w:tblStyle w:val="10"/>
        <w:tblW w:w="0" w:type="auto"/>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1221"/>
        <w:gridCol w:w="1722"/>
        <w:gridCol w:w="3781"/>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jc w:val="center"/>
        </w:trPr>
        <w:tc>
          <w:tcPr>
            <w:tcW w:w="1221" w:type="dxa"/>
            <w:tcBorders>
              <w:top w:val="single" w:color="008000" w:sz="12" w:space="0"/>
              <w:left w:val="nil"/>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类别</w:t>
            </w:r>
          </w:p>
        </w:tc>
        <w:tc>
          <w:tcPr>
            <w:tcW w:w="1722"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标志</w:t>
            </w:r>
          </w:p>
        </w:tc>
        <w:tc>
          <w:tcPr>
            <w:tcW w:w="3781"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评分分值范围</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jc w:val="center"/>
        </w:trPr>
        <w:tc>
          <w:tcPr>
            <w:tcW w:w="1221" w:type="dxa"/>
            <w:tcBorders>
              <w:top w:val="single" w:color="008000" w:sz="6" w:space="0"/>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优</w:t>
            </w:r>
          </w:p>
        </w:tc>
        <w:tc>
          <w:tcPr>
            <w:tcW w:w="1722"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A</w:t>
            </w:r>
          </w:p>
        </w:tc>
        <w:tc>
          <w:tcPr>
            <w:tcW w:w="3781"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分数为全国平均值1.5倍</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2" w:hRule="atLeast"/>
          <w:jc w:val="center"/>
        </w:trPr>
        <w:tc>
          <w:tcPr>
            <w:tcW w:w="1221" w:type="dxa"/>
            <w:shd w:val="clear" w:color="auto" w:fill="FFFFFF" w:themeFill="background1"/>
            <w:vAlign w:val="center"/>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较优</w:t>
            </w:r>
          </w:p>
        </w:tc>
        <w:tc>
          <w:tcPr>
            <w:tcW w:w="172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B</w:t>
            </w:r>
          </w:p>
        </w:tc>
        <w:tc>
          <w:tcPr>
            <w:tcW w:w="378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分数为全国城市平均值1.0到1.5倍之间</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jc w:val="center"/>
        </w:trPr>
        <w:tc>
          <w:tcPr>
            <w:tcW w:w="1221" w:type="dxa"/>
            <w:tcBorders>
              <w:left w:val="nil"/>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一般</w:t>
            </w:r>
          </w:p>
        </w:tc>
        <w:tc>
          <w:tcPr>
            <w:tcW w:w="1722"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C</w:t>
            </w:r>
          </w:p>
        </w:tc>
        <w:tc>
          <w:tcPr>
            <w:tcW w:w="3781"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分数基本等于全国城市平均值</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2" w:hRule="atLeast"/>
          <w:jc w:val="center"/>
        </w:trPr>
        <w:tc>
          <w:tcPr>
            <w:tcW w:w="1221" w:type="dxa"/>
            <w:shd w:val="clear" w:color="auto" w:fill="FFFFFF" w:themeFill="background1"/>
            <w:vAlign w:val="center"/>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较差</w:t>
            </w:r>
          </w:p>
        </w:tc>
        <w:tc>
          <w:tcPr>
            <w:tcW w:w="1722"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D</w:t>
            </w:r>
          </w:p>
        </w:tc>
        <w:tc>
          <w:tcPr>
            <w:tcW w:w="3781"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分数低于全国城市平均值1.0到0.5倍</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69" w:hRule="atLeast"/>
          <w:jc w:val="center"/>
        </w:trPr>
        <w:tc>
          <w:tcPr>
            <w:tcW w:w="1221" w:type="dxa"/>
            <w:tcBorders>
              <w:left w:val="nil"/>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差</w:t>
            </w:r>
          </w:p>
        </w:tc>
        <w:tc>
          <w:tcPr>
            <w:tcW w:w="1722"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E</w:t>
            </w:r>
          </w:p>
        </w:tc>
        <w:tc>
          <w:tcPr>
            <w:tcW w:w="3781"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分数低于全国城市平均值0.5倍</w:t>
            </w:r>
          </w:p>
        </w:tc>
      </w:tr>
    </w:tbl>
    <w:p>
      <w:pPr>
        <w:pStyle w:val="3"/>
        <w:spacing w:before="60" w:after="60"/>
        <w:ind w:firstLine="0"/>
        <w:rPr>
          <w:b/>
          <w:bCs/>
          <w:sz w:val="21"/>
        </w:rPr>
      </w:pPr>
      <w:r>
        <w:rPr>
          <w:b/>
          <w:bCs/>
          <w:sz w:val="21"/>
        </w:rPr>
        <w:t>2.3 资源枯竭型城市转型评价结果</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2009-2019年十年间，我国总体经济水平高速发展，然而以全国城市平均值为对照计算的资源枯竭型城市分值并没有在总体上超越全国平均水平，如图1所示，总体上，2009年资源枯竭型城市总体平均分值高于全国平均分值，而2019年全国平均分值超过资源枯竭型城市总体平均0.125分；经济发展方面，2009年资源枯竭型城市与全国平均水平相比评分仅相差0.031，2019年相差0.164；社会民生方面，2009、2019年资源枯竭型城市评分均高于全国平均分值，说明资源枯竭型城市社会民生建设情况良好；生态环境方面，2009、2019年两者分值相差不大。资源枯竭型城市在经济发展上明显动力不足，而社会民生和生态环境方</w:t>
      </w:r>
      <w:r>
        <w:rPr>
          <w:rFonts w:ascii="Times New Roman" w:hAnsi="Times New Roman" w:eastAsia="楷体" w:cs="Times New Roman"/>
          <w:b/>
          <w:szCs w:val="18"/>
          <w:lang w:val="zh-CN"/>
        </w:rPr>
        <w:drawing>
          <wp:anchor distT="0" distB="0" distL="114300" distR="114300" simplePos="0" relativeHeight="251661312" behindDoc="1" locked="0" layoutInCell="1" allowOverlap="1">
            <wp:simplePos x="0" y="0"/>
            <wp:positionH relativeFrom="column">
              <wp:posOffset>3077845</wp:posOffset>
            </wp:positionH>
            <wp:positionV relativeFrom="paragraph">
              <wp:posOffset>448945</wp:posOffset>
            </wp:positionV>
            <wp:extent cx="3420110" cy="2107565"/>
            <wp:effectExtent l="0" t="0" r="9525" b="6985"/>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4"/>
                    <a:stretch>
                      <a:fillRect/>
                    </a:stretch>
                  </pic:blipFill>
                  <pic:spPr>
                    <a:xfrm>
                      <a:off x="0" y="0"/>
                      <a:ext cx="3420000" cy="2107864"/>
                    </a:xfrm>
                    <a:prstGeom prst="rect">
                      <a:avLst/>
                    </a:prstGeom>
                  </pic:spPr>
                </pic:pic>
              </a:graphicData>
            </a:graphic>
          </wp:anchor>
        </w:drawing>
      </w:r>
      <w:r>
        <w:rPr>
          <w:rFonts w:ascii="Times New Roman" w:hAnsi="Times New Roman" w:eastAsia="楷体" w:cs="Times New Roman"/>
          <w:b/>
          <w:szCs w:val="18"/>
        </w:rPr>
        <w:drawing>
          <wp:anchor distT="0" distB="0" distL="114300" distR="114300" simplePos="0" relativeHeight="251660288" behindDoc="0" locked="0" layoutInCell="1" allowOverlap="1">
            <wp:simplePos x="0" y="0"/>
            <wp:positionH relativeFrom="column">
              <wp:posOffset>-143510</wp:posOffset>
            </wp:positionH>
            <wp:positionV relativeFrom="paragraph">
              <wp:posOffset>450850</wp:posOffset>
            </wp:positionV>
            <wp:extent cx="3419475" cy="2106930"/>
            <wp:effectExtent l="0" t="0" r="0" b="762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a:stretch>
                      <a:fillRect/>
                    </a:stretch>
                  </pic:blipFill>
                  <pic:spPr>
                    <a:xfrm>
                      <a:off x="0" y="0"/>
                      <a:ext cx="3419475" cy="2106930"/>
                    </a:xfrm>
                    <a:prstGeom prst="rect">
                      <a:avLst/>
                    </a:prstGeom>
                  </pic:spPr>
                </pic:pic>
              </a:graphicData>
            </a:graphic>
          </wp:anchor>
        </w:drawing>
      </w:r>
      <w:r>
        <w:rPr>
          <w:rFonts w:ascii="Times New Roman" w:hAnsi="Times New Roman" w:eastAsia="宋体" w:cs="Times New Roman"/>
          <w:szCs w:val="21"/>
        </w:rPr>
        <w:t>面和全国平均水平持平。各样本城市具体分值和分类结果如表4所示。</w:t>
      </w:r>
    </w:p>
    <w:p>
      <w:pPr>
        <w:pStyle w:val="3"/>
        <w:spacing w:after="120" w:line="240" w:lineRule="exact"/>
        <w:ind w:firstLine="0"/>
        <w:jc w:val="center"/>
        <w:rPr>
          <w:rFonts w:eastAsia="楷体"/>
          <w:b/>
          <w:szCs w:val="18"/>
        </w:rPr>
      </w:pPr>
      <w:r>
        <w:rPr>
          <w:rFonts w:eastAsia="楷体"/>
          <w:b/>
          <w:szCs w:val="18"/>
        </w:rPr>
        <w:t>图1  2009、2019年资源枯竭型城市评分与全国评分结果</w:t>
      </w:r>
    </w:p>
    <w:p>
      <w:pPr>
        <w:spacing w:before="160" w:after="80" w:line="200" w:lineRule="exact"/>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表4  资源枯竭型城市评价分值和分类结果</w:t>
      </w:r>
    </w:p>
    <w:tbl>
      <w:tblPr>
        <w:tblStyle w:val="10"/>
        <w:tblW w:w="9832" w:type="dxa"/>
        <w:tblInd w:w="0" w:type="dxa"/>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983"/>
        <w:gridCol w:w="983"/>
        <w:gridCol w:w="983"/>
        <w:gridCol w:w="983"/>
        <w:gridCol w:w="984"/>
        <w:gridCol w:w="983"/>
        <w:gridCol w:w="983"/>
        <w:gridCol w:w="983"/>
        <w:gridCol w:w="983"/>
        <w:gridCol w:w="984"/>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top w:val="single" w:color="008000" w:sz="12" w:space="0"/>
              <w:left w:val="nil"/>
              <w:bottom w:val="single" w:color="008000" w:sz="6" w:space="0"/>
              <w:right w:val="nil"/>
              <w:insideV w:val="nil"/>
            </w:tcBorders>
            <w:shd w:val="clear" w:color="auto" w:fill="FFFFFF" w:themeFill="background1"/>
            <w:noWrap/>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2009年</w:t>
            </w:r>
          </w:p>
        </w:tc>
        <w:tc>
          <w:tcPr>
            <w:tcW w:w="983" w:type="dxa"/>
            <w:tcBorders>
              <w:top w:val="single" w:color="008000" w:sz="12" w:space="0"/>
              <w:bottom w:val="single" w:color="008000" w:sz="6" w:space="0"/>
              <w:right w:val="nil"/>
              <w:insideV w:val="nil"/>
            </w:tcBorders>
            <w:shd w:val="clear" w:color="auto" w:fill="FFFFFF" w:themeFill="background1"/>
            <w:noWrap/>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经济</w:t>
            </w:r>
          </w:p>
        </w:tc>
        <w:tc>
          <w:tcPr>
            <w:tcW w:w="983" w:type="dxa"/>
            <w:tcBorders>
              <w:top w:val="single" w:color="008000" w:sz="12" w:space="0"/>
              <w:bottom w:val="single" w:color="008000" w:sz="6" w:space="0"/>
              <w:right w:val="nil"/>
              <w:insideV w:val="nil"/>
            </w:tcBorders>
            <w:shd w:val="clear" w:color="auto" w:fill="FFFFFF" w:themeFill="background1"/>
            <w:noWrap/>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社会</w:t>
            </w:r>
          </w:p>
        </w:tc>
        <w:tc>
          <w:tcPr>
            <w:tcW w:w="983" w:type="dxa"/>
            <w:tcBorders>
              <w:top w:val="single" w:color="008000" w:sz="12" w:space="0"/>
              <w:bottom w:val="single" w:color="008000" w:sz="6" w:space="0"/>
              <w:right w:val="nil"/>
              <w:insideV w:val="nil"/>
            </w:tcBorders>
            <w:shd w:val="clear" w:color="auto" w:fill="FFFFFF" w:themeFill="background1"/>
            <w:noWrap/>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环境</w:t>
            </w:r>
          </w:p>
        </w:tc>
        <w:tc>
          <w:tcPr>
            <w:tcW w:w="984" w:type="dxa"/>
            <w:tcBorders>
              <w:top w:val="single" w:color="008000" w:sz="12" w:space="0"/>
              <w:bottom w:val="single" w:color="008000" w:sz="6" w:space="0"/>
              <w:right w:val="nil"/>
              <w:insideV w:val="nil"/>
            </w:tcBorders>
            <w:shd w:val="clear" w:color="auto" w:fill="FFFFFF" w:themeFill="background1"/>
            <w:noWrap/>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总体</w:t>
            </w:r>
          </w:p>
        </w:tc>
        <w:tc>
          <w:tcPr>
            <w:tcW w:w="983"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2019年</w:t>
            </w:r>
          </w:p>
        </w:tc>
        <w:tc>
          <w:tcPr>
            <w:tcW w:w="983"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经济</w:t>
            </w:r>
          </w:p>
        </w:tc>
        <w:tc>
          <w:tcPr>
            <w:tcW w:w="983"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社会</w:t>
            </w:r>
          </w:p>
        </w:tc>
        <w:tc>
          <w:tcPr>
            <w:tcW w:w="983"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环境</w:t>
            </w:r>
          </w:p>
        </w:tc>
        <w:tc>
          <w:tcPr>
            <w:tcW w:w="984" w:type="dxa"/>
            <w:tcBorders>
              <w:top w:val="single" w:color="008000" w:sz="12" w:space="0"/>
              <w:bottom w:val="single" w:color="008000" w:sz="6" w:space="0"/>
              <w:right w:val="nil"/>
              <w:insideV w:val="nil"/>
            </w:tcBorders>
            <w:shd w:val="clear" w:color="auto" w:fill="FFFFFF" w:themeFill="background1"/>
            <w:vAlign w:val="center"/>
          </w:tcPr>
          <w:p>
            <w:pPr>
              <w:pStyle w:val="2"/>
              <w:spacing w:before="0" w:after="0" w:line="0" w:lineRule="atLeast"/>
              <w:ind w:firstLine="0"/>
              <w:jc w:val="center"/>
              <w:rPr>
                <w:rFonts w:eastAsia="楷体"/>
                <w:b/>
                <w:bCs/>
                <w:color w:val="auto"/>
                <w:sz w:val="18"/>
                <w:szCs w:val="18"/>
              </w:rPr>
            </w:pPr>
            <w:r>
              <w:rPr>
                <w:rFonts w:eastAsia="楷体"/>
                <w:b w:val="0"/>
                <w:bCs/>
                <w:color w:val="auto"/>
                <w:sz w:val="18"/>
                <w:szCs w:val="18"/>
              </w:rPr>
              <w:t>总体</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top w:val="single" w:color="008000" w:sz="6" w:space="0"/>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乌海市</w:t>
            </w:r>
          </w:p>
        </w:tc>
        <w:tc>
          <w:tcPr>
            <w:tcW w:w="983" w:type="dxa"/>
            <w:tcBorders>
              <w:top w:val="single" w:color="008000" w:sz="6"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0.387</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single" w:color="008000" w:sz="6"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top w:val="single" w:color="008000" w:sz="6"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0.042</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4" w:type="dxa"/>
            <w:tcBorders>
              <w:top w:val="single" w:color="008000" w:sz="6"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0.588</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乌海市</w:t>
            </w:r>
          </w:p>
        </w:tc>
        <w:tc>
          <w:tcPr>
            <w:tcW w:w="983"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0.179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0.231</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0.061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top w:val="single" w:color="008000" w:sz="6"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0.471</w:t>
            </w:r>
          </w:p>
          <w:p>
            <w:pPr>
              <w:pStyle w:val="2"/>
              <w:spacing w:line="0" w:lineRule="atLeast"/>
              <w:ind w:firstLine="0"/>
              <w:jc w:val="center"/>
              <w:rPr>
                <w:rFonts w:eastAsia="楷体"/>
                <w:color w:val="auto"/>
                <w:sz w:val="18"/>
                <w:szCs w:val="18"/>
              </w:rPr>
            </w:pPr>
            <w:r>
              <w:rPr>
                <w:rFonts w:eastAsia="楷体"/>
                <w:color w:val="auto"/>
                <w:sz w:val="18"/>
                <w:szCs w:val="18"/>
              </w:rPr>
              <w:t>C</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阜新市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0.241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0.092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0.047</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0.380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阜新市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0.183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0.088</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0.325</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盘锦市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0.169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0.159</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0.051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0.380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盘锦市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0.168</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0.202</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0.429</w:t>
            </w:r>
          </w:p>
          <w:p>
            <w:pPr>
              <w:pStyle w:val="2"/>
              <w:spacing w:line="0" w:lineRule="atLeast"/>
              <w:ind w:firstLine="0"/>
              <w:jc w:val="center"/>
              <w:rPr>
                <w:rFonts w:eastAsia="楷体"/>
                <w:color w:val="auto"/>
                <w:sz w:val="18"/>
                <w:szCs w:val="18"/>
              </w:rPr>
            </w:pPr>
            <w:r>
              <w:rPr>
                <w:rFonts w:eastAsia="楷体"/>
                <w:color w:val="auto"/>
                <w:sz w:val="18"/>
                <w:szCs w:val="18"/>
              </w:rPr>
              <w:t>C</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抚顺市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0.184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0.079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0.047</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0.311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抚顺市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0.097</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0.083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0.056</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0.236</w:t>
            </w:r>
          </w:p>
          <w:p>
            <w:pPr>
              <w:pStyle w:val="2"/>
              <w:spacing w:line="0" w:lineRule="atLeast"/>
              <w:ind w:firstLine="0"/>
              <w:jc w:val="center"/>
              <w:rPr>
                <w:rFonts w:eastAsia="楷体"/>
                <w:color w:val="auto"/>
                <w:sz w:val="18"/>
                <w:szCs w:val="18"/>
              </w:rPr>
            </w:pPr>
            <w:r>
              <w:rPr>
                <w:rFonts w:eastAsia="楷体"/>
                <w:color w:val="auto"/>
                <w:sz w:val="18"/>
                <w:szCs w:val="18"/>
              </w:rPr>
              <w:t>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辽源市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0.218</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0.107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0.037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0.362</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辽源市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0.172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0.091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0.316</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白山市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0.174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0.084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0.037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0.295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白山市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0.180</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0.044</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0.037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0.261</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伊春市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0.120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0.023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0.296</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伊春市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0.130</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0.100</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0.284</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七台河市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0.192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0.102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0.037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0.332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七台河市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0.111</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0.076</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0.064</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0.251</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鹤岗市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0.115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0.113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0.036</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0.265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鹤岗市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0.120</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0.050</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0.219</w:t>
            </w:r>
          </w:p>
          <w:p>
            <w:pPr>
              <w:pStyle w:val="2"/>
              <w:spacing w:line="0" w:lineRule="atLeast"/>
              <w:ind w:firstLine="0"/>
              <w:jc w:val="center"/>
              <w:rPr>
                <w:rFonts w:eastAsia="楷体"/>
                <w:color w:val="auto"/>
                <w:sz w:val="18"/>
                <w:szCs w:val="18"/>
              </w:rPr>
            </w:pPr>
            <w:r>
              <w:rPr>
                <w:rFonts w:eastAsia="楷体"/>
                <w:color w:val="auto"/>
                <w:sz w:val="18"/>
                <w:szCs w:val="18"/>
              </w:rPr>
              <w:t>E</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双鸭山市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0.201</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0.131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0.038</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0.369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双鸭山市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0.118</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0.081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0.069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0.268</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淮北市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0.131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0.144</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0.067</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0.342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淮北市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0.180</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0.188</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0.409</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枣庄市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0.122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0.290</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0.060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0.472</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枣庄市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0.157</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0.214</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0.416</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焦作市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0.107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0.220</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0.055</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0.381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焦作市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0.169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0.171</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0.382</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濮阳市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0.081</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0.217</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0.347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濮阳市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0.184</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0.122</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0.031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0.337</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铜陵市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0.230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0.157</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0.061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0.447</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铜陵市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0.191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0.131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0.057</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0.378</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萍乡市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0.136</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0.164</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0.069</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0.369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萍乡市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0.259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0.188</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0.067</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0.514</w:t>
            </w:r>
          </w:p>
          <w:p>
            <w:pPr>
              <w:pStyle w:val="2"/>
              <w:spacing w:line="0" w:lineRule="atLeast"/>
              <w:ind w:firstLine="0"/>
              <w:jc w:val="center"/>
              <w:rPr>
                <w:rFonts w:eastAsia="楷体"/>
                <w:color w:val="auto"/>
                <w:sz w:val="18"/>
                <w:szCs w:val="18"/>
              </w:rPr>
            </w:pPr>
            <w:r>
              <w:rPr>
                <w:rFonts w:eastAsia="楷体"/>
                <w:color w:val="auto"/>
                <w:sz w:val="18"/>
                <w:szCs w:val="18"/>
              </w:rPr>
              <w:t>B</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bottom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景德镇市</w:t>
            </w:r>
          </w:p>
        </w:tc>
        <w:tc>
          <w:tcPr>
            <w:tcW w:w="983" w:type="dxa"/>
            <w:tcBorders>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0.175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0.143</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0.093</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4" w:type="dxa"/>
            <w:tcBorders>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0.412</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景德镇市</w:t>
            </w:r>
          </w:p>
        </w:tc>
        <w:tc>
          <w:tcPr>
            <w:tcW w:w="983" w:type="dxa"/>
            <w:tcBorders>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0.212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0.209</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0.075</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0.496</w:t>
            </w:r>
          </w:p>
          <w:p>
            <w:pPr>
              <w:pStyle w:val="2"/>
              <w:spacing w:line="0" w:lineRule="atLeast"/>
              <w:ind w:firstLine="0"/>
              <w:jc w:val="center"/>
              <w:rPr>
                <w:rFonts w:eastAsia="楷体"/>
                <w:color w:val="auto"/>
                <w:sz w:val="18"/>
                <w:szCs w:val="18"/>
              </w:rPr>
            </w:pPr>
            <w:r>
              <w:rPr>
                <w:rFonts w:eastAsia="楷体"/>
                <w:color w:val="auto"/>
                <w:sz w:val="18"/>
                <w:szCs w:val="18"/>
              </w:rPr>
              <w:t>C</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top w:val="nil"/>
              <w:bottom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新余市</w:t>
            </w:r>
          </w:p>
        </w:tc>
        <w:tc>
          <w:tcPr>
            <w:tcW w:w="983" w:type="dxa"/>
            <w:tcBorders>
              <w:top w:val="nil"/>
              <w:bottom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0.275</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top w:val="nil"/>
              <w:bottom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0.203</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nil"/>
              <w:bottom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0.080</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4" w:type="dxa"/>
            <w:tcBorders>
              <w:top w:val="nil"/>
              <w:bottom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0.558</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nil"/>
              <w:bottom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新余市</w:t>
            </w:r>
          </w:p>
        </w:tc>
        <w:tc>
          <w:tcPr>
            <w:tcW w:w="983" w:type="dxa"/>
            <w:tcBorders>
              <w:top w:val="nil"/>
              <w:bottom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0.253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nil"/>
              <w:bottom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0.196</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nil"/>
              <w:bottom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0.077</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top w:val="nil"/>
              <w:bottom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0.527</w:t>
            </w:r>
          </w:p>
          <w:p>
            <w:pPr>
              <w:pStyle w:val="2"/>
              <w:spacing w:line="0" w:lineRule="atLeast"/>
              <w:ind w:firstLine="0"/>
              <w:jc w:val="center"/>
              <w:rPr>
                <w:rFonts w:eastAsia="楷体"/>
                <w:color w:val="auto"/>
                <w:sz w:val="18"/>
                <w:szCs w:val="18"/>
              </w:rPr>
            </w:pPr>
            <w:r>
              <w:rPr>
                <w:rFonts w:eastAsia="楷体"/>
                <w:color w:val="auto"/>
                <w:sz w:val="18"/>
                <w:szCs w:val="18"/>
              </w:rPr>
              <w:t>B</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top w:val="nil"/>
              <w:left w:val="nil"/>
              <w:bottom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黄石市</w:t>
            </w:r>
          </w:p>
        </w:tc>
        <w:tc>
          <w:tcPr>
            <w:tcW w:w="983" w:type="dxa"/>
            <w:tcBorders>
              <w:top w:val="nil"/>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0.149</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nil"/>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0.171</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top w:val="nil"/>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0.055</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top w:val="nil"/>
              <w:bottom w:val="nil"/>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0.375</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top w:val="nil"/>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黄石市</w:t>
            </w:r>
          </w:p>
        </w:tc>
        <w:tc>
          <w:tcPr>
            <w:tcW w:w="983" w:type="dxa"/>
            <w:tcBorders>
              <w:top w:val="nil"/>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0.163</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top w:val="nil"/>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0.273</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tcBorders>
              <w:top w:val="nil"/>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0.047</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top w:val="nil"/>
              <w:bottom w:val="nil"/>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0.483</w:t>
            </w:r>
          </w:p>
          <w:p>
            <w:pPr>
              <w:pStyle w:val="2"/>
              <w:spacing w:line="0" w:lineRule="atLeast"/>
              <w:ind w:firstLine="0"/>
              <w:jc w:val="center"/>
              <w:rPr>
                <w:rFonts w:eastAsia="楷体"/>
                <w:color w:val="auto"/>
                <w:sz w:val="18"/>
                <w:szCs w:val="18"/>
              </w:rPr>
            </w:pPr>
            <w:r>
              <w:rPr>
                <w:rFonts w:eastAsia="楷体"/>
                <w:color w:val="auto"/>
                <w:sz w:val="18"/>
                <w:szCs w:val="18"/>
              </w:rPr>
              <w:t>C</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top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韶关市</w:t>
            </w:r>
          </w:p>
        </w:tc>
        <w:tc>
          <w:tcPr>
            <w:tcW w:w="983" w:type="dxa"/>
            <w:tcBorders>
              <w:top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0.161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0.119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top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0.060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top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0.340</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韶关市</w:t>
            </w:r>
          </w:p>
        </w:tc>
        <w:tc>
          <w:tcPr>
            <w:tcW w:w="983" w:type="dxa"/>
            <w:tcBorders>
              <w:top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0.178</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0.102</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top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0.063</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top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0.342</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泸州市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0.146</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0.345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泸州市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0.137</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0.132</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0.046</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0.315</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铜川市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0.135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0.110</w:t>
            </w:r>
          </w:p>
          <w:p>
            <w:pPr>
              <w:pStyle w:val="2"/>
              <w:spacing w:line="0" w:lineRule="atLeast"/>
              <w:ind w:firstLine="0"/>
              <w:jc w:val="center"/>
              <w:rPr>
                <w:rFonts w:eastAsia="楷体"/>
                <w:color w:val="auto"/>
                <w:sz w:val="18"/>
                <w:szCs w:val="18"/>
              </w:rPr>
            </w:pPr>
            <w:r>
              <w:rPr>
                <w:rFonts w:eastAsia="楷体"/>
                <w:color w:val="auto"/>
                <w:sz w:val="18"/>
                <w:szCs w:val="18"/>
              </w:rPr>
              <w:t>C</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0.048</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0.293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铜川市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0.149</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0.130</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0.045</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0.324</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tcBorders>
              <w:left w:val="nil"/>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白银市</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0.082</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0.090</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0.019</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4" w:type="dxa"/>
            <w:tcBorders>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0.191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白银市</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0.120</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0.122</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0.053</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4" w:type="dxa"/>
            <w:tcBorders>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0.295</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336" w:hRule="atLeast"/>
        </w:trPr>
        <w:tc>
          <w:tcPr>
            <w:tcW w:w="983" w:type="dxa"/>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石嘴山市</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0.151</w:t>
            </w:r>
          </w:p>
          <w:p>
            <w:pPr>
              <w:pStyle w:val="2"/>
              <w:spacing w:line="0" w:lineRule="atLeast"/>
              <w:ind w:firstLine="0"/>
              <w:jc w:val="center"/>
              <w:rPr>
                <w:rFonts w:eastAsia="楷体"/>
                <w:color w:val="auto"/>
                <w:sz w:val="18"/>
                <w:szCs w:val="18"/>
              </w:rPr>
            </w:pPr>
            <w:r>
              <w:rPr>
                <w:rFonts w:eastAsia="楷体"/>
                <w:color w:val="auto"/>
                <w:sz w:val="18"/>
                <w:szCs w:val="18"/>
              </w:rPr>
              <w:t>D</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0.155</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0.068</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4" w:type="dxa"/>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0.374</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石嘴山市</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0.160</w:t>
            </w:r>
          </w:p>
          <w:p>
            <w:pPr>
              <w:pStyle w:val="2"/>
              <w:spacing w:line="0" w:lineRule="atLeast"/>
              <w:ind w:firstLine="0"/>
              <w:jc w:val="center"/>
              <w:rPr>
                <w:rFonts w:eastAsia="楷体"/>
                <w:color w:val="auto"/>
                <w:sz w:val="18"/>
                <w:szCs w:val="18"/>
              </w:rPr>
            </w:pPr>
            <w:r>
              <w:rPr>
                <w:rFonts w:eastAsia="楷体"/>
                <w:color w:val="auto"/>
                <w:sz w:val="18"/>
                <w:szCs w:val="18"/>
              </w:rPr>
              <w:t>E</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0.330</w:t>
            </w:r>
          </w:p>
          <w:p>
            <w:pPr>
              <w:pStyle w:val="2"/>
              <w:spacing w:line="0" w:lineRule="atLeast"/>
              <w:ind w:firstLine="0"/>
              <w:jc w:val="center"/>
              <w:rPr>
                <w:rFonts w:eastAsia="楷体"/>
                <w:color w:val="auto"/>
                <w:sz w:val="18"/>
                <w:szCs w:val="18"/>
              </w:rPr>
            </w:pPr>
            <w:r>
              <w:rPr>
                <w:rFonts w:eastAsia="楷体"/>
                <w:color w:val="auto"/>
                <w:sz w:val="18"/>
                <w:szCs w:val="18"/>
              </w:rPr>
              <w:t>A</w:t>
            </w:r>
          </w:p>
        </w:tc>
        <w:tc>
          <w:tcPr>
            <w:tcW w:w="983"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0.059</w:t>
            </w:r>
          </w:p>
          <w:p>
            <w:pPr>
              <w:pStyle w:val="2"/>
              <w:spacing w:line="0" w:lineRule="atLeast"/>
              <w:ind w:firstLine="0"/>
              <w:jc w:val="center"/>
              <w:rPr>
                <w:rFonts w:eastAsia="楷体"/>
                <w:color w:val="auto"/>
                <w:sz w:val="18"/>
                <w:szCs w:val="18"/>
              </w:rPr>
            </w:pPr>
            <w:r>
              <w:rPr>
                <w:rFonts w:eastAsia="楷体"/>
                <w:color w:val="auto"/>
                <w:sz w:val="18"/>
                <w:szCs w:val="18"/>
              </w:rPr>
              <w:t>B</w:t>
            </w:r>
          </w:p>
        </w:tc>
        <w:tc>
          <w:tcPr>
            <w:tcW w:w="984" w:type="dxa"/>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0.548</w:t>
            </w:r>
          </w:p>
          <w:p>
            <w:pPr>
              <w:pStyle w:val="2"/>
              <w:spacing w:line="0" w:lineRule="atLeast"/>
              <w:ind w:firstLine="0"/>
              <w:jc w:val="center"/>
              <w:rPr>
                <w:rFonts w:eastAsia="楷体"/>
                <w:color w:val="auto"/>
                <w:sz w:val="18"/>
                <w:szCs w:val="18"/>
              </w:rPr>
            </w:pPr>
            <w:r>
              <w:rPr>
                <w:rFonts w:eastAsia="楷体"/>
                <w:color w:val="auto"/>
                <w:sz w:val="18"/>
                <w:szCs w:val="18"/>
              </w:rPr>
              <w:t>D</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983" w:type="dxa"/>
            <w:tcBorders>
              <w:left w:val="nil"/>
              <w:bottom w:val="single" w:color="008000" w:sz="12" w:space="0"/>
              <w:right w:val="nil"/>
              <w:insideV w:val="nil"/>
            </w:tcBorders>
            <w:shd w:val="clear" w:color="auto" w:fill="FFFFFF" w:themeFill="background1"/>
            <w:noWrap/>
            <w:vAlign w:val="center"/>
          </w:tcPr>
          <w:p>
            <w:pPr>
              <w:pStyle w:val="2"/>
              <w:spacing w:line="0" w:lineRule="atLeast"/>
              <w:ind w:firstLine="0"/>
              <w:jc w:val="center"/>
              <w:rPr>
                <w:rFonts w:eastAsia="楷体"/>
                <w:b/>
                <w:bCs/>
                <w:color w:val="auto"/>
                <w:sz w:val="18"/>
                <w:szCs w:val="18"/>
              </w:rPr>
            </w:pPr>
            <w:r>
              <w:rPr>
                <w:rFonts w:eastAsia="楷体"/>
                <w:b w:val="0"/>
                <w:bCs/>
                <w:color w:val="auto"/>
                <w:sz w:val="18"/>
                <w:szCs w:val="18"/>
              </w:rPr>
              <w:t>全国</w:t>
            </w:r>
          </w:p>
        </w:tc>
        <w:tc>
          <w:tcPr>
            <w:tcW w:w="983" w:type="dxa"/>
            <w:tcBorders>
              <w:bottom w:val="single" w:color="008000" w:sz="12"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0.203</w:t>
            </w:r>
          </w:p>
        </w:tc>
        <w:tc>
          <w:tcPr>
            <w:tcW w:w="983" w:type="dxa"/>
            <w:tcBorders>
              <w:bottom w:val="single" w:color="008000" w:sz="12"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0.115</w:t>
            </w:r>
          </w:p>
        </w:tc>
        <w:tc>
          <w:tcPr>
            <w:tcW w:w="983" w:type="dxa"/>
            <w:tcBorders>
              <w:bottom w:val="single" w:color="008000" w:sz="12"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0.043</w:t>
            </w:r>
          </w:p>
        </w:tc>
        <w:tc>
          <w:tcPr>
            <w:tcW w:w="984" w:type="dxa"/>
            <w:tcBorders>
              <w:bottom w:val="single" w:color="008000" w:sz="12" w:space="0"/>
              <w:right w:val="nil"/>
              <w:insideV w:val="nil"/>
            </w:tcBorders>
            <w:shd w:val="clear" w:color="auto" w:fill="FFFFFF" w:themeFill="background1"/>
            <w:noWrap/>
            <w:vAlign w:val="center"/>
          </w:tcPr>
          <w:p>
            <w:pPr>
              <w:pStyle w:val="2"/>
              <w:spacing w:line="0" w:lineRule="atLeast"/>
              <w:ind w:firstLine="0"/>
              <w:jc w:val="center"/>
              <w:rPr>
                <w:rFonts w:eastAsia="楷体"/>
                <w:color w:val="auto"/>
                <w:sz w:val="18"/>
                <w:szCs w:val="18"/>
              </w:rPr>
            </w:pPr>
            <w:r>
              <w:rPr>
                <w:rFonts w:eastAsia="楷体"/>
                <w:color w:val="auto"/>
                <w:sz w:val="18"/>
                <w:szCs w:val="18"/>
              </w:rPr>
              <w:t>0.362</w:t>
            </w:r>
          </w:p>
        </w:tc>
        <w:tc>
          <w:tcPr>
            <w:tcW w:w="983"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全国</w:t>
            </w:r>
          </w:p>
        </w:tc>
        <w:tc>
          <w:tcPr>
            <w:tcW w:w="983"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0.329</w:t>
            </w:r>
          </w:p>
        </w:tc>
        <w:tc>
          <w:tcPr>
            <w:tcW w:w="983"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0.105</w:t>
            </w:r>
          </w:p>
        </w:tc>
        <w:tc>
          <w:tcPr>
            <w:tcW w:w="983"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0.058</w:t>
            </w:r>
          </w:p>
        </w:tc>
        <w:tc>
          <w:tcPr>
            <w:tcW w:w="984" w:type="dxa"/>
            <w:tcBorders>
              <w:bottom w:val="single" w:color="008000" w:sz="12" w:space="0"/>
              <w:right w:val="nil"/>
              <w:insideV w:val="nil"/>
            </w:tcBorders>
            <w:shd w:val="clear" w:color="auto" w:fill="FFFFFF" w:themeFill="background1"/>
            <w:vAlign w:val="center"/>
          </w:tcPr>
          <w:p>
            <w:pPr>
              <w:pStyle w:val="2"/>
              <w:spacing w:line="0" w:lineRule="atLeast"/>
              <w:ind w:firstLine="0"/>
              <w:jc w:val="center"/>
              <w:rPr>
                <w:rFonts w:eastAsia="楷体"/>
                <w:color w:val="auto"/>
                <w:sz w:val="18"/>
                <w:szCs w:val="18"/>
              </w:rPr>
            </w:pPr>
            <w:r>
              <w:rPr>
                <w:rFonts w:eastAsia="楷体"/>
                <w:color w:val="auto"/>
                <w:sz w:val="18"/>
                <w:szCs w:val="18"/>
              </w:rPr>
              <w:t>0.492</w:t>
            </w:r>
          </w:p>
        </w:tc>
      </w:tr>
    </w:tbl>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2.3.1 资源枯竭型城市经济发展水平逐渐落后于全国平均水平  </w:t>
      </w:r>
      <w:r>
        <w:rPr>
          <w:rFonts w:ascii="Times New Roman" w:hAnsi="Times New Roman" w:eastAsia="宋体" w:cs="Times New Roman"/>
          <w:szCs w:val="21"/>
        </w:rPr>
        <w:t>从2009年到2019年，24座资源枯竭型地级市经济发展得分逐渐落后于全国平均水平，2009年，经济评分为“优”的城市只有乌海市1个，“较优”的城市有3个分别是阜新市、铜陵市、新余市；2019年，经济评分为“优”和“较优”的城市均为0个。可以看出，2009年资源枯竭型城市的经济发展水平就已经落后于全国平均了，</w:t>
      </w:r>
      <w:bookmarkStart w:id="1" w:name="_Hlk114609451"/>
      <w:r>
        <w:rPr>
          <w:rFonts w:ascii="Times New Roman" w:hAnsi="Times New Roman" w:eastAsia="宋体" w:cs="Times New Roman"/>
          <w:szCs w:val="21"/>
        </w:rPr>
        <w:t>而经过10年的发展差距仍然存在且有进一步扩大的趋势。</w:t>
      </w:r>
    </w:p>
    <w:bookmarkEnd w:id="1"/>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2.3.2 资源枯竭型城市社会民生发展水平有较大进步  </w:t>
      </w:r>
      <w:r>
        <w:rPr>
          <w:rFonts w:ascii="Times New Roman" w:hAnsi="Times New Roman" w:eastAsia="宋体" w:cs="Times New Roman"/>
          <w:szCs w:val="21"/>
        </w:rPr>
        <w:t>准则层中的社会民生部分主要包括居民收入水平、城市基础设施建设、社会福利保障这三个方面。2009年，评价为“优”的城市有4个，“较优”有12个，有70%的资源枯竭型城市在社会民生指标上高于全国平均水平，可见，我国资源枯竭型城市的民生发展水平基础较好，如人口大省河南的焦作和濮阳市等在2009年就处于前列；经过十年的发展后其发展水平也越来越高。尤其是江西省的萍乡市、景德镇市、新余市均为“优”。因此，在2019年的评价指标中社会民生所占的权重越来越大，已经成为评价资源枯竭型城市转型是否成功的重要方面，这与中国特色社会主义建设中的改善民生福祉目标是一致的。</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2.3.3 资源枯竭型城市优质生态环境建设并不明显  </w:t>
      </w:r>
      <w:r>
        <w:rPr>
          <w:rFonts w:ascii="Times New Roman" w:hAnsi="Times New Roman" w:eastAsia="宋体" w:cs="Times New Roman"/>
          <w:szCs w:val="21"/>
        </w:rPr>
        <w:t>2009年，环境指标评价为“优”的城市有5个，“较优”有10个，总体领先全国平均水平；2019年，评价“优”的城市数为0，“较优”有9个。可见，过去十年资源枯竭型城市在环境污染治理和生态文明建设方面相对落后，发展较缓慢。生态文明建设是资源枯竭型城市转型发展的重要指标，能直接彰显生态环境转变的效果，在现实中存在巨大的地域差异，如江西省的三个城市，萍乡市、景德镇市、新余市环境得分均评为“优”，显示出了资源枯竭型城市转型的生态文明建设较好的成果。</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2.3.4 总体转型效果不够理想</w:t>
      </w:r>
      <w:r>
        <w:rPr>
          <w:rFonts w:ascii="Times New Roman" w:hAnsi="Times New Roman" w:eastAsia="楷体" w:cs="Times New Roman"/>
          <w:b/>
          <w:szCs w:val="18"/>
          <w:lang w:val="zh-CN"/>
        </w:rPr>
        <w:drawing>
          <wp:anchor distT="0" distB="0" distL="114300" distR="114300" simplePos="0" relativeHeight="251659264" behindDoc="0" locked="0" layoutInCell="1" allowOverlap="1">
            <wp:simplePos x="0" y="0"/>
            <wp:positionH relativeFrom="column">
              <wp:posOffset>1082675</wp:posOffset>
            </wp:positionH>
            <wp:positionV relativeFrom="paragraph">
              <wp:posOffset>1155065</wp:posOffset>
            </wp:positionV>
            <wp:extent cx="3979545" cy="2065655"/>
            <wp:effectExtent l="0" t="0" r="1905" b="0"/>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a:srcRect l="3025" t="5045" r="3322" b="7385"/>
                    <a:stretch>
                      <a:fillRect/>
                    </a:stretch>
                  </pic:blipFill>
                  <pic:spPr>
                    <a:xfrm>
                      <a:off x="0" y="0"/>
                      <a:ext cx="3979545" cy="2065655"/>
                    </a:xfrm>
                    <a:prstGeom prst="rect">
                      <a:avLst/>
                    </a:prstGeom>
                    <a:ln>
                      <a:noFill/>
                    </a:ln>
                  </pic:spPr>
                </pic:pic>
              </a:graphicData>
            </a:graphic>
          </wp:anchor>
        </w:drawing>
      </w:r>
      <w:r>
        <w:rPr>
          <w:rFonts w:ascii="Times New Roman" w:hAnsi="Times New Roman" w:eastAsia="楷体" w:cs="Times New Roman"/>
          <w:b/>
          <w:bCs/>
          <w:szCs w:val="21"/>
        </w:rPr>
        <w:t xml:space="preserve">  </w:t>
      </w:r>
      <w:r>
        <w:rPr>
          <w:rFonts w:ascii="Times New Roman" w:hAnsi="Times New Roman" w:eastAsia="宋体" w:cs="Times New Roman"/>
          <w:szCs w:val="21"/>
        </w:rPr>
        <w:t>2009-2019十年间资源枯竭型城市的转型效果不够理想，评价综合得分的分布由“较优”转向“较差”，如图2所示，2009年，资源枯竭型城市分值分布较为均衡，主要集中在“较优”和“较差”行列，分别占比41.67%和45.83%，“优”和“一般”分别占8.33%和4.17%；2019年，有70.83%的城市评为“较差”，“较优”仅为8.33%，而没有城市被评为“优”。可见，资源枯竭型城市一旦资源优势不在，处于转型期的发展整体落后于全国平均水平。另一方面，同一省内的不同资源枯竭型城市其评价得分也有差异，反映出资源枯竭型城市转型发展水平的个体差异明显。</w:t>
      </w:r>
    </w:p>
    <w:p>
      <w:pPr>
        <w:pStyle w:val="3"/>
        <w:spacing w:after="120" w:line="240" w:lineRule="exact"/>
        <w:ind w:firstLine="0"/>
        <w:jc w:val="center"/>
        <w:rPr>
          <w:rFonts w:eastAsia="楷体"/>
          <w:b/>
          <w:szCs w:val="18"/>
        </w:rPr>
      </w:pPr>
      <w:r>
        <w:rPr>
          <w:rFonts w:eastAsia="楷体"/>
          <w:b/>
          <w:szCs w:val="18"/>
        </w:rPr>
        <w:t>图2  总体评价中各城市分类所占比例</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2.3.5 资源枯竭型城市转型发展存在明显区域差异  </w:t>
      </w:r>
      <w:r>
        <w:rPr>
          <w:rFonts w:ascii="Times New Roman" w:hAnsi="Times New Roman" w:eastAsia="宋体" w:cs="Times New Roman"/>
          <w:szCs w:val="21"/>
        </w:rPr>
        <w:t>我国的经济、社会发展速度存在明显的区域差异，资源枯竭型城市的转型发展也不例外。分属我国东、中、西和东北地区等不同区域的资源枯竭型城市转型结果表现出明显的区域差异。如表5所示，2009年，经济发展方面，西部和东北地区平均分值高于东、中部地区，但社会民生和生态环境的平均分值低于东、中部地区。2019年，经济发展方面，东、中部地区远超西部和东北地区，社会民生和生态环境方面，各区域发展均衡。2009-2019年十年间，东、中部地区经济发展评分增长，社会、环境方面评分下降；而西部和东北地区经济发展评分下降，社会、环境方面评分增长，各区域经济、社会、生态三方面没能形成平衡的发展模式。从总体评分来看，2009、2019年东、中部地区均高于西部和东北地区。</w:t>
      </w:r>
    </w:p>
    <w:p>
      <w:pPr>
        <w:spacing w:before="160" w:after="80" w:line="200" w:lineRule="exact"/>
        <w:jc w:val="center"/>
        <w:rPr>
          <w:rFonts w:ascii="Times New Roman" w:hAnsi="Times New Roman" w:eastAsia="宋体" w:cs="Times New Roman"/>
          <w:b/>
          <w:bCs/>
          <w:sz w:val="18"/>
          <w:szCs w:val="18"/>
        </w:rPr>
      </w:pPr>
      <w:r>
        <w:rPr>
          <w:rFonts w:ascii="Times New Roman" w:hAnsi="Times New Roman" w:eastAsia="宋体" w:cs="Times New Roman"/>
          <w:b/>
          <w:bCs/>
          <w:sz w:val="18"/>
          <w:szCs w:val="18"/>
        </w:rPr>
        <w:t>表5  资源枯竭型城市分区域评价平均分值</w:t>
      </w:r>
    </w:p>
    <w:tbl>
      <w:tblPr>
        <w:tblStyle w:val="10"/>
        <w:tblW w:w="0" w:type="auto"/>
        <w:jc w:val="center"/>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Layout w:type="autofit"/>
        <w:tblCellMar>
          <w:top w:w="0" w:type="dxa"/>
          <w:left w:w="108" w:type="dxa"/>
          <w:bottom w:w="0" w:type="dxa"/>
          <w:right w:w="108" w:type="dxa"/>
        </w:tblCellMar>
      </w:tblPr>
      <w:tblGrid>
        <w:gridCol w:w="949"/>
        <w:gridCol w:w="955"/>
        <w:gridCol w:w="956"/>
        <w:gridCol w:w="956"/>
        <w:gridCol w:w="957"/>
        <w:gridCol w:w="950"/>
        <w:gridCol w:w="956"/>
        <w:gridCol w:w="956"/>
        <w:gridCol w:w="956"/>
        <w:gridCol w:w="957"/>
      </w:tblGrid>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 w:hRule="atLeast"/>
          <w:jc w:val="center"/>
        </w:trPr>
        <w:tc>
          <w:tcPr>
            <w:tcW w:w="949" w:type="dxa"/>
            <w:tcBorders>
              <w:top w:val="single" w:color="008000" w:sz="12" w:space="0"/>
              <w:left w:val="nil"/>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2009年</w:t>
            </w:r>
          </w:p>
        </w:tc>
        <w:tc>
          <w:tcPr>
            <w:tcW w:w="955"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经济</w:t>
            </w:r>
          </w:p>
        </w:tc>
        <w:tc>
          <w:tcPr>
            <w:tcW w:w="956"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社会</w:t>
            </w:r>
          </w:p>
        </w:tc>
        <w:tc>
          <w:tcPr>
            <w:tcW w:w="956"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环境</w:t>
            </w:r>
          </w:p>
        </w:tc>
        <w:tc>
          <w:tcPr>
            <w:tcW w:w="957"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总体</w:t>
            </w:r>
          </w:p>
        </w:tc>
        <w:tc>
          <w:tcPr>
            <w:tcW w:w="950"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2019年</w:t>
            </w:r>
          </w:p>
        </w:tc>
        <w:tc>
          <w:tcPr>
            <w:tcW w:w="956"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经济</w:t>
            </w:r>
          </w:p>
        </w:tc>
        <w:tc>
          <w:tcPr>
            <w:tcW w:w="956"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社会</w:t>
            </w:r>
          </w:p>
        </w:tc>
        <w:tc>
          <w:tcPr>
            <w:tcW w:w="956"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环境</w:t>
            </w:r>
          </w:p>
        </w:tc>
        <w:tc>
          <w:tcPr>
            <w:tcW w:w="957" w:type="dxa"/>
            <w:tcBorders>
              <w:top w:val="single" w:color="008000" w:sz="12" w:space="0"/>
              <w:bottom w:val="single" w:color="008000" w:sz="6" w:space="0"/>
              <w:right w:val="nil"/>
              <w:insideV w:val="nil"/>
            </w:tcBorders>
            <w:shd w:val="clear" w:color="auto" w:fill="FFFFFF" w:themeFill="background1"/>
          </w:tcPr>
          <w:p>
            <w:pPr>
              <w:pStyle w:val="2"/>
              <w:spacing w:before="0" w:after="0" w:line="0" w:lineRule="atLeast"/>
              <w:ind w:firstLine="0"/>
              <w:jc w:val="center"/>
              <w:rPr>
                <w:rFonts w:eastAsia="楷体"/>
                <w:b w:val="0"/>
                <w:bCs w:val="0"/>
                <w:color w:val="auto"/>
                <w:sz w:val="18"/>
                <w:szCs w:val="18"/>
              </w:rPr>
            </w:pPr>
            <w:r>
              <w:rPr>
                <w:rFonts w:eastAsia="楷体"/>
                <w:b w:val="0"/>
                <w:bCs w:val="0"/>
                <w:color w:val="auto"/>
                <w:sz w:val="18"/>
                <w:szCs w:val="18"/>
              </w:rPr>
              <w:t>总体</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PrEx>
        <w:trPr>
          <w:trHeight w:val="200" w:hRule="atLeast"/>
          <w:jc w:val="center"/>
        </w:trPr>
        <w:tc>
          <w:tcPr>
            <w:tcW w:w="949" w:type="dxa"/>
            <w:tcBorders>
              <w:top w:val="single" w:color="008000" w:sz="6" w:space="0"/>
              <w:left w:val="nil"/>
              <w:right w:val="nil"/>
              <w:insideV w:val="nil"/>
            </w:tcBorders>
            <w:shd w:val="clear" w:color="auto" w:fill="FFFFFF" w:themeFill="background1"/>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东部</w:t>
            </w:r>
          </w:p>
        </w:tc>
        <w:tc>
          <w:tcPr>
            <w:tcW w:w="955"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0.141</w:t>
            </w:r>
          </w:p>
        </w:tc>
        <w:tc>
          <w:tcPr>
            <w:tcW w:w="956"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0.204</w:t>
            </w:r>
          </w:p>
        </w:tc>
        <w:tc>
          <w:tcPr>
            <w:tcW w:w="956"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0.060</w:t>
            </w:r>
          </w:p>
        </w:tc>
        <w:tc>
          <w:tcPr>
            <w:tcW w:w="957"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0.406</w:t>
            </w:r>
          </w:p>
        </w:tc>
        <w:tc>
          <w:tcPr>
            <w:tcW w:w="950"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东部</w:t>
            </w:r>
          </w:p>
        </w:tc>
        <w:tc>
          <w:tcPr>
            <w:tcW w:w="956"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0.168</w:t>
            </w:r>
          </w:p>
        </w:tc>
        <w:tc>
          <w:tcPr>
            <w:tcW w:w="956"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0.158</w:t>
            </w:r>
          </w:p>
        </w:tc>
        <w:tc>
          <w:tcPr>
            <w:tcW w:w="956"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0.053</w:t>
            </w:r>
          </w:p>
        </w:tc>
        <w:tc>
          <w:tcPr>
            <w:tcW w:w="957" w:type="dxa"/>
            <w:tcBorders>
              <w:top w:val="single" w:color="008000" w:sz="6" w:space="0"/>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0.379</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 w:hRule="atLeast"/>
          <w:jc w:val="center"/>
        </w:trPr>
        <w:tc>
          <w:tcPr>
            <w:tcW w:w="949" w:type="dxa"/>
            <w:shd w:val="clear" w:color="auto" w:fill="FFFFFF" w:themeFill="background1"/>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中部</w:t>
            </w:r>
          </w:p>
        </w:tc>
        <w:tc>
          <w:tcPr>
            <w:tcW w:w="955"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0.161</w:t>
            </w:r>
          </w:p>
        </w:tc>
        <w:tc>
          <w:tcPr>
            <w:tcW w:w="956"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0.177</w:t>
            </w:r>
          </w:p>
        </w:tc>
        <w:tc>
          <w:tcPr>
            <w:tcW w:w="956"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0.066</w:t>
            </w:r>
          </w:p>
        </w:tc>
        <w:tc>
          <w:tcPr>
            <w:tcW w:w="957"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0.404</w:t>
            </w:r>
          </w:p>
        </w:tc>
        <w:tc>
          <w:tcPr>
            <w:tcW w:w="950"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中部</w:t>
            </w:r>
          </w:p>
        </w:tc>
        <w:tc>
          <w:tcPr>
            <w:tcW w:w="956"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0.201</w:t>
            </w:r>
          </w:p>
        </w:tc>
        <w:tc>
          <w:tcPr>
            <w:tcW w:w="956"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0.185</w:t>
            </w:r>
          </w:p>
        </w:tc>
        <w:tc>
          <w:tcPr>
            <w:tcW w:w="956"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0.055</w:t>
            </w:r>
          </w:p>
        </w:tc>
        <w:tc>
          <w:tcPr>
            <w:tcW w:w="957" w:type="dxa"/>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0.441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 w:hRule="atLeast"/>
          <w:jc w:val="center"/>
        </w:trPr>
        <w:tc>
          <w:tcPr>
            <w:tcW w:w="949" w:type="dxa"/>
            <w:tcBorders>
              <w:left w:val="nil"/>
              <w:right w:val="nil"/>
              <w:insideV w:val="nil"/>
            </w:tcBorders>
            <w:shd w:val="clear" w:color="auto" w:fill="FFFFFF" w:themeFill="background1"/>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西部</w:t>
            </w:r>
          </w:p>
        </w:tc>
        <w:tc>
          <w:tcPr>
            <w:tcW w:w="955"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0.180</w:t>
            </w:r>
          </w:p>
        </w:tc>
        <w:tc>
          <w:tcPr>
            <w:tcW w:w="956"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0.133</w:t>
            </w:r>
          </w:p>
        </w:tc>
        <w:tc>
          <w:tcPr>
            <w:tcW w:w="956"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0.045</w:t>
            </w:r>
          </w:p>
        </w:tc>
        <w:tc>
          <w:tcPr>
            <w:tcW w:w="957"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0.358</w:t>
            </w:r>
          </w:p>
        </w:tc>
        <w:tc>
          <w:tcPr>
            <w:tcW w:w="950"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西部</w:t>
            </w:r>
          </w:p>
        </w:tc>
        <w:tc>
          <w:tcPr>
            <w:tcW w:w="956"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0.149</w:t>
            </w:r>
          </w:p>
        </w:tc>
        <w:tc>
          <w:tcPr>
            <w:tcW w:w="956"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0.189</w:t>
            </w:r>
          </w:p>
        </w:tc>
        <w:tc>
          <w:tcPr>
            <w:tcW w:w="956"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0.053</w:t>
            </w:r>
          </w:p>
        </w:tc>
        <w:tc>
          <w:tcPr>
            <w:tcW w:w="957" w:type="dxa"/>
            <w:tcBorders>
              <w:right w:val="nil"/>
              <w:insideV w:val="nil"/>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0.391</w:t>
            </w:r>
          </w:p>
        </w:tc>
      </w:tr>
      <w:tr>
        <w:tblPrEx>
          <w:tblBorders>
            <w:top w:val="single" w:color="000000" w:themeColor="text1" w:sz="8" w:space="0"/>
            <w:left w:val="none" w:color="auto" w:sz="0" w:space="0"/>
            <w:bottom w:val="single" w:color="000000" w:themeColor="text1" w:sz="8"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206" w:hRule="atLeast"/>
          <w:jc w:val="center"/>
        </w:trPr>
        <w:tc>
          <w:tcPr>
            <w:tcW w:w="949" w:type="dxa"/>
            <w:tcBorders>
              <w:bottom w:val="single" w:color="008000" w:sz="12" w:space="0"/>
            </w:tcBorders>
            <w:shd w:val="clear" w:color="auto" w:fill="FFFFFF" w:themeFill="background1"/>
          </w:tcPr>
          <w:p>
            <w:pPr>
              <w:pStyle w:val="2"/>
              <w:spacing w:line="0" w:lineRule="atLeast"/>
              <w:ind w:firstLine="0"/>
              <w:jc w:val="center"/>
              <w:rPr>
                <w:rFonts w:eastAsia="楷体"/>
                <w:b w:val="0"/>
                <w:bCs w:val="0"/>
                <w:color w:val="auto"/>
                <w:sz w:val="18"/>
                <w:szCs w:val="18"/>
              </w:rPr>
            </w:pPr>
            <w:r>
              <w:rPr>
                <w:rFonts w:eastAsia="楷体"/>
                <w:b w:val="0"/>
                <w:bCs w:val="0"/>
                <w:color w:val="auto"/>
                <w:sz w:val="18"/>
                <w:szCs w:val="18"/>
              </w:rPr>
              <w:t>东北</w:t>
            </w:r>
          </w:p>
        </w:tc>
        <w:tc>
          <w:tcPr>
            <w:tcW w:w="955"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0.183</w:t>
            </w:r>
          </w:p>
        </w:tc>
        <w:tc>
          <w:tcPr>
            <w:tcW w:w="956"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0.110</w:t>
            </w:r>
          </w:p>
        </w:tc>
        <w:tc>
          <w:tcPr>
            <w:tcW w:w="956"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0.039</w:t>
            </w:r>
          </w:p>
        </w:tc>
        <w:tc>
          <w:tcPr>
            <w:tcW w:w="957"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0.332</w:t>
            </w:r>
          </w:p>
        </w:tc>
        <w:tc>
          <w:tcPr>
            <w:tcW w:w="950"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东北</w:t>
            </w:r>
          </w:p>
        </w:tc>
        <w:tc>
          <w:tcPr>
            <w:tcW w:w="956"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0.142</w:t>
            </w:r>
          </w:p>
        </w:tc>
        <w:tc>
          <w:tcPr>
            <w:tcW w:w="956"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0.091</w:t>
            </w:r>
          </w:p>
        </w:tc>
        <w:tc>
          <w:tcPr>
            <w:tcW w:w="956"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0.055</w:t>
            </w:r>
          </w:p>
        </w:tc>
        <w:tc>
          <w:tcPr>
            <w:tcW w:w="957" w:type="dxa"/>
            <w:tcBorders>
              <w:bottom w:val="single" w:color="008000" w:sz="12" w:space="0"/>
            </w:tcBorders>
            <w:shd w:val="clear" w:color="auto" w:fill="FFFFFF" w:themeFill="background1"/>
          </w:tcPr>
          <w:p>
            <w:pPr>
              <w:pStyle w:val="2"/>
              <w:spacing w:line="0" w:lineRule="atLeast"/>
              <w:ind w:firstLine="0"/>
              <w:jc w:val="center"/>
              <w:rPr>
                <w:rFonts w:eastAsia="楷体"/>
                <w:color w:val="auto"/>
                <w:sz w:val="18"/>
                <w:szCs w:val="18"/>
              </w:rPr>
            </w:pPr>
            <w:r>
              <w:rPr>
                <w:rFonts w:eastAsia="楷体"/>
                <w:color w:val="auto"/>
                <w:sz w:val="18"/>
                <w:szCs w:val="18"/>
              </w:rPr>
              <w:t>0.288</w:t>
            </w:r>
          </w:p>
        </w:tc>
      </w:tr>
    </w:tbl>
    <w:p>
      <w:pPr>
        <w:pStyle w:val="3"/>
        <w:spacing w:before="60" w:after="60"/>
        <w:ind w:firstLine="0"/>
        <w:rPr>
          <w:b/>
          <w:bCs/>
          <w:sz w:val="21"/>
        </w:rPr>
      </w:pPr>
      <w:r>
        <w:rPr>
          <w:b/>
          <w:bCs/>
          <w:sz w:val="21"/>
        </w:rPr>
        <w:t>2.4 原因分析</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2.4.1 经济发展  </w:t>
      </w:r>
      <w:r>
        <w:rPr>
          <w:rFonts w:ascii="Times New Roman" w:hAnsi="Times New Roman" w:eastAsia="宋体" w:cs="Times New Roman"/>
          <w:szCs w:val="21"/>
        </w:rPr>
        <w:t>2009年，资源枯竭型城市依托资源优势与原有的城市经济体量，评分高于全国平均水平，经过十年的发展，资源枯竭与地处偏远的地理劣势使资源枯竭型城市逐步失去发展优势，难以依托中心城市群，在招商引资中也是困难重重，除了政策扶持，城市吸引力低下，以至于缺少高新技术产业的入驻，形成了人才外流的恶性循环的局面。十年来，我国很多城市修建高铁，改善交通，加速外界互通连接，资源枯竭型城市产生的大多不是铁路和公路运输欠缺，而是交通的升级与改造，与此同时还面临着产业的更新换代，产业链延伸不仅需要高新技术，还需要新型人才的加持，交通速度和经济速度挂钩的时代下，资源枯竭型城市需要的是革新衰败的老旧产业，积极融入周边城市群。</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2.4.2 社会民生  </w:t>
      </w:r>
      <w:r>
        <w:rPr>
          <w:rFonts w:ascii="Times New Roman" w:hAnsi="Times New Roman" w:eastAsia="宋体" w:cs="Times New Roman"/>
          <w:szCs w:val="21"/>
        </w:rPr>
        <w:t>资源枯竭型城市具备民生建设的基础，工矿业的发展提供了大量就业周边性岗位，例如江西省近年来打造“幸福江西”保障网，推出一系列的灵活就业政策，积极推进农民工在家就业，有利于省内建设发展，也提升了劳动人民的生活幸福感。不只是就业政策的革新，扩宽和新增城市道路，增加城市绿地面积，改造老旧小区都有利于社会民生建设的完善和进步。</w:t>
      </w:r>
    </w:p>
    <w:p>
      <w:pPr>
        <w:spacing w:line="300" w:lineRule="exact"/>
        <w:rPr>
          <w:rFonts w:ascii="Times New Roman" w:hAnsi="Times New Roman" w:eastAsia="楷体" w:cs="Times New Roman"/>
          <w:b/>
          <w:bCs/>
          <w:szCs w:val="21"/>
        </w:rPr>
      </w:pPr>
      <w:r>
        <w:rPr>
          <w:rFonts w:ascii="Times New Roman" w:hAnsi="Times New Roman" w:eastAsia="楷体" w:cs="Times New Roman"/>
          <w:b/>
          <w:bCs/>
          <w:szCs w:val="21"/>
        </w:rPr>
        <w:t xml:space="preserve">2.4.3 生态环境  </w:t>
      </w:r>
      <w:r>
        <w:rPr>
          <w:rFonts w:ascii="Times New Roman" w:hAnsi="Times New Roman" w:eastAsia="宋体" w:cs="Times New Roman"/>
          <w:szCs w:val="21"/>
        </w:rPr>
        <w:t>生态环境的优劣同时受到原生条件的孕育和开拓者在开发过程中的理念的影响，十八大以来，我国高度重视生态环境建设与可持续发展，随着新能源的运用与普及，空气质量大大提高，随着技术进步，水体污染也得到改善，在全国生态环境转优的大背景下，资源枯竭型城市生态环境污染改良不明显。城市产业运作短时间内无法改变，很多资源枯竭型城市延续采矿业为支柱的发展方式，产业链延伸不足、创新性底势必会带来一系列的环境问题。</w:t>
      </w:r>
    </w:p>
    <w:p>
      <w:pPr>
        <w:pStyle w:val="3"/>
        <w:spacing w:line="240" w:lineRule="auto"/>
        <w:ind w:firstLine="0"/>
        <w:rPr>
          <w:b/>
          <w:sz w:val="28"/>
          <w:szCs w:val="28"/>
        </w:rPr>
      </w:pPr>
      <w:r>
        <w:rPr>
          <w:b/>
          <w:sz w:val="28"/>
          <w:szCs w:val="28"/>
        </w:rPr>
        <w:t>3  结论与建议</w:t>
      </w:r>
    </w:p>
    <w:p>
      <w:pPr>
        <w:pStyle w:val="3"/>
        <w:spacing w:before="60" w:after="60"/>
        <w:ind w:firstLine="0"/>
        <w:rPr>
          <w:b/>
          <w:bCs/>
          <w:sz w:val="21"/>
        </w:rPr>
      </w:pPr>
      <w:r>
        <w:rPr>
          <w:b/>
          <w:bCs/>
          <w:sz w:val="21"/>
        </w:rPr>
        <w:t>3.1 结论</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资源枯竭型城市发展总体落后于全国平均水平，其中经济发展方面，转型结果中、东部地区优于西部和东北地区；社会民生方面，各区域发展均衡，其中西部地区评分进步明显；资源环境方面，各地区差异不大，其中东、中部的环境向得分下降，而西部和东北地区的得分上升明显。且江西省各市进步明显，而东北地区转型效果较差。</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（2）资源枯竭型城市经济发展水平逐渐落后于全国平均水平。</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（3）在社会民生方面，整体均有较大进步。</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（4）大量资源枯竭型城市生态环境恶化，生态治理能力提升缓慢。</w:t>
      </w:r>
    </w:p>
    <w:p>
      <w:pPr>
        <w:pStyle w:val="3"/>
        <w:spacing w:before="60" w:after="60"/>
        <w:ind w:firstLine="0"/>
        <w:rPr>
          <w:b/>
          <w:bCs/>
          <w:sz w:val="21"/>
        </w:rPr>
      </w:pPr>
      <w:r>
        <w:rPr>
          <w:b/>
          <w:bCs/>
          <w:sz w:val="21"/>
        </w:rPr>
        <w:t>3.2 建议</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（1）立足城市特色，扩大发展优势</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各城市应该从区位条件、自然资源禀赋、文化积淀等多方面挖掘自身发展优势，逐渐从依赖矿产资源开发的能源经济转变为可持续发展的服务经济，利用地理位置优势，发展对外贸易；积极融入“一带一路”、“长江经济带”、城市群，依托大城市的带动作用，实现城市经济发展；挖掘城市历史文化，发展旅游业。</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（2）调整产业结构，培养接续产业</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在第一产业上，延伸农产品产业链，对农产品深加工，提高附加值，促进农产品多样化发展；在第二产业上，应该提升能源利用效率，避免资源浪费，城市转型初期，适当开采矿产，避免因停采导致经济大幅度下滑，逐步培养接续产业，利用科学技术，实现可持续发展；在第三产业上，很多城市在转型过程中都走上了发展旅游业的道路，例如黄石“工业文化旅游”、景德镇“瓷文化体验”等等，旅游业的发展能带动相关产业发展，促进基础设施建设，但是景区知名度的培养、吸引力的提升需要长时间的积累，可以利用新媒体，对城市文化进行宣传，打造“网红城市”。</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（3）重视人才培养，吸引人才流入</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资源枯竭型城市转型离不开科学技术的发展，而科技创新离不开人力资源，提升教育在财政支出中的比重，大力发展教育，优化学校基础设施建设。</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（4）关注环境指标，生态绿色转型</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关注环境信息的变化，控制好污水、废气排放量，提升污水处理技术。</w:t>
      </w:r>
    </w:p>
    <w:p>
      <w:pPr>
        <w:spacing w:line="3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资源枯竭型城市转型不能一蹴而就，只有合理的政策、企业的配合、社会资源的合理分配、人民大众的响应，全方位的努力下才能收效。</w:t>
      </w:r>
    </w:p>
    <w:p>
      <w:pPr>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szCs w:val="24"/>
        </w:rPr>
        <w:drawing>
          <wp:inline distT="0" distB="0" distL="0" distR="0">
            <wp:extent cx="3509010" cy="17862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75309" cy="1819969"/>
                    </a:xfrm>
                    <a:prstGeom prst="rect">
                      <a:avLst/>
                    </a:prstGeom>
                  </pic:spPr>
                </pic:pic>
              </a:graphicData>
            </a:graphic>
          </wp:inline>
        </w:drawing>
      </w:r>
    </w:p>
    <w:p>
      <w:pPr>
        <w:pStyle w:val="3"/>
        <w:spacing w:after="120" w:line="240" w:lineRule="exact"/>
        <w:ind w:firstLine="0"/>
        <w:jc w:val="center"/>
        <w:rPr>
          <w:rFonts w:eastAsia="楷体"/>
          <w:b/>
          <w:szCs w:val="18"/>
        </w:rPr>
      </w:pPr>
      <w:r>
        <w:rPr>
          <w:rFonts w:eastAsia="楷体"/>
          <w:b/>
          <w:szCs w:val="18"/>
        </w:rPr>
        <w:t>图3 资源枯竭型城市转型建议</w:t>
      </w:r>
    </w:p>
    <w:p>
      <w:pPr>
        <w:pStyle w:val="3"/>
        <w:spacing w:before="120" w:after="120" w:line="240" w:lineRule="auto"/>
        <w:ind w:firstLine="0"/>
        <w:rPr>
          <w:b/>
          <w:bCs/>
          <w:sz w:val="21"/>
        </w:rPr>
      </w:pPr>
      <w:r>
        <w:rPr>
          <w:b/>
          <w:bCs/>
          <w:sz w:val="21"/>
        </w:rPr>
        <w:t>参考文献：</w:t>
      </w:r>
    </w:p>
    <w:p>
      <w:pPr>
        <w:pStyle w:val="3"/>
        <w:numPr>
          <w:ilvl w:val="0"/>
          <w:numId w:val="1"/>
        </w:numPr>
        <w:tabs>
          <w:tab w:val="left" w:pos="360"/>
        </w:tabs>
        <w:spacing w:line="240" w:lineRule="exact"/>
        <w:ind w:left="357" w:hanging="357"/>
        <w:rPr>
          <w:sz w:val="15"/>
        </w:rPr>
      </w:pPr>
      <w:r>
        <w:rPr>
          <w:sz w:val="15"/>
        </w:rPr>
        <w:t>Hayter R, Barnes T J. Labour market segmentation , flexibility and recession: A British Colombian case study [J]. Environment and Planning, 1992, 10(3): 333-353.</w:t>
      </w:r>
    </w:p>
    <w:p>
      <w:pPr>
        <w:pStyle w:val="3"/>
        <w:numPr>
          <w:ilvl w:val="0"/>
          <w:numId w:val="1"/>
        </w:numPr>
        <w:tabs>
          <w:tab w:val="left" w:pos="360"/>
        </w:tabs>
        <w:spacing w:line="240" w:lineRule="exact"/>
        <w:ind w:left="357" w:hanging="357"/>
        <w:rPr>
          <w:sz w:val="15"/>
        </w:rPr>
      </w:pPr>
      <w:r>
        <w:rPr>
          <w:sz w:val="15"/>
        </w:rPr>
        <w:t>Tonts M, Plummer P, Lawrie M . Socio-economic wellbeing in Australian mining towns: A comparative analysis[J]. Journal of Rural Studies, 2012, 28(3): 288-301.</w:t>
      </w:r>
    </w:p>
    <w:p>
      <w:pPr>
        <w:pStyle w:val="3"/>
        <w:numPr>
          <w:ilvl w:val="0"/>
          <w:numId w:val="1"/>
        </w:numPr>
        <w:tabs>
          <w:tab w:val="left" w:pos="360"/>
        </w:tabs>
        <w:spacing w:line="240" w:lineRule="exact"/>
        <w:ind w:left="357" w:hanging="357"/>
        <w:rPr>
          <w:sz w:val="15"/>
        </w:rPr>
      </w:pPr>
      <w:r>
        <w:rPr>
          <w:sz w:val="15"/>
        </w:rPr>
        <w:t>Spooner D . Mining and regional development[M]. New York: Oxford University Press, 1981: 15-18.</w:t>
      </w:r>
    </w:p>
    <w:p>
      <w:pPr>
        <w:pStyle w:val="3"/>
        <w:numPr>
          <w:ilvl w:val="0"/>
          <w:numId w:val="1"/>
        </w:numPr>
        <w:tabs>
          <w:tab w:val="left" w:pos="360"/>
        </w:tabs>
        <w:spacing w:line="240" w:lineRule="exact"/>
        <w:ind w:left="357" w:hanging="357"/>
        <w:rPr>
          <w:sz w:val="15"/>
        </w:rPr>
      </w:pPr>
      <w:r>
        <w:rPr>
          <w:sz w:val="15"/>
        </w:rPr>
        <w:t>John H,</w:t>
      </w:r>
      <w:r>
        <w:t xml:space="preserve"> </w:t>
      </w:r>
      <w:r>
        <w:rPr>
          <w:sz w:val="15"/>
        </w:rPr>
        <w:t>Isabelle M. Winding down in a Quebec mining town: a case study of Schefferville[J]. Canadian Geographer / Le Geographe canadien, 1983, 27(2): 128-144.</w:t>
      </w:r>
    </w:p>
    <w:p>
      <w:pPr>
        <w:pStyle w:val="3"/>
        <w:numPr>
          <w:ilvl w:val="0"/>
          <w:numId w:val="1"/>
        </w:numPr>
        <w:tabs>
          <w:tab w:val="left" w:pos="360"/>
        </w:tabs>
        <w:spacing w:line="240" w:lineRule="exact"/>
        <w:ind w:left="357" w:hanging="357"/>
        <w:rPr>
          <w:sz w:val="15"/>
        </w:rPr>
      </w:pPr>
      <w:r>
        <w:rPr>
          <w:sz w:val="15"/>
        </w:rPr>
        <w:t>田苗, 武友德. 资源枯竭型城市产业转型实证研究[J]. 经济地理, 2006(04): 585-588+597.</w:t>
      </w:r>
    </w:p>
    <w:p>
      <w:pPr>
        <w:pStyle w:val="3"/>
        <w:numPr>
          <w:ilvl w:val="0"/>
          <w:numId w:val="1"/>
        </w:numPr>
        <w:tabs>
          <w:tab w:val="left" w:pos="360"/>
        </w:tabs>
        <w:spacing w:line="240" w:lineRule="exact"/>
        <w:ind w:left="357" w:hanging="357"/>
        <w:rPr>
          <w:sz w:val="15"/>
        </w:rPr>
      </w:pPr>
      <w:r>
        <w:rPr>
          <w:sz w:val="15"/>
        </w:rPr>
        <w:t>李媛媛, 陈龙乾. 煤炭资源枯竭城市转型下旅游发展战略研究: 基于SWOT-AHP法的实证分析[J]. 中国矿业, 2020, 29(06): 69-75.</w:t>
      </w:r>
    </w:p>
    <w:p>
      <w:pPr>
        <w:pStyle w:val="3"/>
        <w:numPr>
          <w:ilvl w:val="0"/>
          <w:numId w:val="1"/>
        </w:numPr>
        <w:tabs>
          <w:tab w:val="left" w:pos="360"/>
        </w:tabs>
        <w:spacing w:line="240" w:lineRule="exact"/>
        <w:ind w:left="357" w:hanging="357"/>
        <w:rPr>
          <w:sz w:val="15"/>
        </w:rPr>
      </w:pPr>
      <w:r>
        <w:rPr>
          <w:sz w:val="15"/>
        </w:rPr>
        <w:t>粟巧兰. 资源枯竭型城市旅游转型的现实困境和促进对策研究[J]. 煤炭工程, 2019, 51(08): 149-153.</w:t>
      </w:r>
    </w:p>
    <w:p>
      <w:pPr>
        <w:pStyle w:val="3"/>
        <w:numPr>
          <w:ilvl w:val="0"/>
          <w:numId w:val="1"/>
        </w:numPr>
        <w:tabs>
          <w:tab w:val="left" w:pos="360"/>
        </w:tabs>
        <w:spacing w:line="240" w:lineRule="exact"/>
        <w:ind w:left="357" w:hanging="357"/>
        <w:rPr>
          <w:sz w:val="15"/>
        </w:rPr>
      </w:pPr>
      <w:r>
        <w:rPr>
          <w:sz w:val="15"/>
        </w:rPr>
        <w:t>吴要武. 资源枯竭型城市的就业与社会保障问题分析[J]. 学术研究, 2004(10): 52-58.</w:t>
      </w:r>
    </w:p>
    <w:p>
      <w:pPr>
        <w:pStyle w:val="3"/>
        <w:numPr>
          <w:ilvl w:val="0"/>
          <w:numId w:val="1"/>
        </w:numPr>
        <w:tabs>
          <w:tab w:val="left" w:pos="360"/>
        </w:tabs>
        <w:spacing w:line="240" w:lineRule="exact"/>
        <w:ind w:left="357" w:hanging="357"/>
        <w:rPr>
          <w:sz w:val="15"/>
        </w:rPr>
      </w:pPr>
      <w:r>
        <w:rPr>
          <w:sz w:val="15"/>
        </w:rPr>
        <w:t>姜春海. 资源枯竭型城市产业转型的财政政策扶持机制研究[J]. 财经问题研究, 2006(08): 36-41.</w:t>
      </w:r>
    </w:p>
    <w:p>
      <w:pPr>
        <w:pStyle w:val="3"/>
        <w:numPr>
          <w:ilvl w:val="0"/>
          <w:numId w:val="1"/>
        </w:numPr>
        <w:tabs>
          <w:tab w:val="left" w:pos="360"/>
        </w:tabs>
        <w:spacing w:line="240" w:lineRule="exact"/>
        <w:ind w:left="357" w:hanging="357"/>
        <w:rPr>
          <w:sz w:val="15"/>
        </w:rPr>
      </w:pPr>
      <w:r>
        <w:rPr>
          <w:sz w:val="15"/>
        </w:rPr>
        <w:t>程启月. 评测指标权重确定的结构熵权法[J]. 系统工程理论与实践, 2010, 30(07): 1225-1228.</w:t>
      </w:r>
    </w:p>
    <w:p>
      <w:pPr>
        <w:pStyle w:val="3"/>
        <w:numPr>
          <w:ilvl w:val="0"/>
          <w:numId w:val="1"/>
        </w:numPr>
        <w:tabs>
          <w:tab w:val="left" w:pos="360"/>
        </w:tabs>
        <w:spacing w:line="240" w:lineRule="exact"/>
        <w:ind w:left="357" w:hanging="357"/>
        <w:rPr>
          <w:sz w:val="15"/>
        </w:rPr>
      </w:pPr>
      <w:r>
        <w:rPr>
          <w:sz w:val="15"/>
        </w:rPr>
        <w:t>杜春丽, 洪诗佳. 资源枯竭型城市转型政策的绩效评价[J]. 统计与决策, 2018, 34(18): 70-73.</w:t>
      </w:r>
    </w:p>
    <w:p>
      <w:pPr>
        <w:pStyle w:val="3"/>
        <w:numPr>
          <w:ilvl w:val="0"/>
          <w:numId w:val="1"/>
        </w:numPr>
        <w:tabs>
          <w:tab w:val="left" w:pos="360"/>
        </w:tabs>
        <w:spacing w:line="240" w:lineRule="exact"/>
        <w:ind w:left="357" w:hanging="357"/>
        <w:rPr>
          <w:sz w:val="15"/>
        </w:rPr>
      </w:pPr>
      <w:r>
        <w:rPr>
          <w:sz w:val="15"/>
        </w:rPr>
        <w:t>余建辉, 张文忠, 王岱. 中国资源枯竭城市的转型效果评价[J]. 自然资源学报, 2011, 26(01): 11-21.</w:t>
      </w:r>
    </w:p>
    <w:sectPr>
      <w:type w:val="continuous"/>
      <w:pgSz w:w="11906" w:h="16838"/>
      <w:pgMar w:top="1503" w:right="1134" w:bottom="1389" w:left="1134" w:header="794" w:footer="794" w:gutter="0"/>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C642A"/>
    <w:multiLevelType w:val="multilevel"/>
    <w:tmpl w:val="35EC642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HorizontalSpacing w:val="105"/>
  <w:drawingGridVerticalSpacing w:val="289"/>
  <w:displayHorizontalDrawingGridEvery w:val="2"/>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4OTkyZjdiMTdmYzU5Mjc5MmRiNjYzODNjMzdjMDQifQ=="/>
  </w:docVars>
  <w:rsids>
    <w:rsidRoot w:val="00DA7B0E"/>
    <w:rsid w:val="00013CCD"/>
    <w:rsid w:val="0001681E"/>
    <w:rsid w:val="00032268"/>
    <w:rsid w:val="0003773F"/>
    <w:rsid w:val="00044E39"/>
    <w:rsid w:val="000510D1"/>
    <w:rsid w:val="000574EB"/>
    <w:rsid w:val="00061691"/>
    <w:rsid w:val="00065790"/>
    <w:rsid w:val="000700EA"/>
    <w:rsid w:val="00080FB7"/>
    <w:rsid w:val="00083080"/>
    <w:rsid w:val="000875B5"/>
    <w:rsid w:val="000915D4"/>
    <w:rsid w:val="000C0E5D"/>
    <w:rsid w:val="000C316A"/>
    <w:rsid w:val="000C535A"/>
    <w:rsid w:val="000D27A5"/>
    <w:rsid w:val="000D5CF9"/>
    <w:rsid w:val="000D5EB4"/>
    <w:rsid w:val="000E486B"/>
    <w:rsid w:val="000F170B"/>
    <w:rsid w:val="00101461"/>
    <w:rsid w:val="00127AEF"/>
    <w:rsid w:val="00134520"/>
    <w:rsid w:val="001434AC"/>
    <w:rsid w:val="00145951"/>
    <w:rsid w:val="00145C0F"/>
    <w:rsid w:val="001A0C3C"/>
    <w:rsid w:val="001A2DFF"/>
    <w:rsid w:val="001B033B"/>
    <w:rsid w:val="001E6924"/>
    <w:rsid w:val="001F296C"/>
    <w:rsid w:val="001F3A90"/>
    <w:rsid w:val="001F6BDA"/>
    <w:rsid w:val="00200C22"/>
    <w:rsid w:val="00203762"/>
    <w:rsid w:val="00211264"/>
    <w:rsid w:val="00211326"/>
    <w:rsid w:val="0021370D"/>
    <w:rsid w:val="00215424"/>
    <w:rsid w:val="00220AAF"/>
    <w:rsid w:val="00236FEB"/>
    <w:rsid w:val="0025017C"/>
    <w:rsid w:val="00281DC6"/>
    <w:rsid w:val="00282A07"/>
    <w:rsid w:val="00291FA8"/>
    <w:rsid w:val="002B4572"/>
    <w:rsid w:val="002C2F05"/>
    <w:rsid w:val="002C398A"/>
    <w:rsid w:val="002D595D"/>
    <w:rsid w:val="002E24BC"/>
    <w:rsid w:val="0030291B"/>
    <w:rsid w:val="0031763B"/>
    <w:rsid w:val="00332CB9"/>
    <w:rsid w:val="003C1FF4"/>
    <w:rsid w:val="003C4E83"/>
    <w:rsid w:val="003C7066"/>
    <w:rsid w:val="003E3B06"/>
    <w:rsid w:val="00403563"/>
    <w:rsid w:val="00403F5F"/>
    <w:rsid w:val="00426A3D"/>
    <w:rsid w:val="00436572"/>
    <w:rsid w:val="00436DD1"/>
    <w:rsid w:val="004424B4"/>
    <w:rsid w:val="004441A6"/>
    <w:rsid w:val="00465372"/>
    <w:rsid w:val="00466082"/>
    <w:rsid w:val="004748D7"/>
    <w:rsid w:val="00477907"/>
    <w:rsid w:val="00491605"/>
    <w:rsid w:val="004A4478"/>
    <w:rsid w:val="004C5F16"/>
    <w:rsid w:val="004D442A"/>
    <w:rsid w:val="004D7C2F"/>
    <w:rsid w:val="004E26A7"/>
    <w:rsid w:val="004F45D2"/>
    <w:rsid w:val="005005F9"/>
    <w:rsid w:val="005054D6"/>
    <w:rsid w:val="00505848"/>
    <w:rsid w:val="005134A7"/>
    <w:rsid w:val="00513E0D"/>
    <w:rsid w:val="00526EBF"/>
    <w:rsid w:val="005402E8"/>
    <w:rsid w:val="0056255C"/>
    <w:rsid w:val="00573F7F"/>
    <w:rsid w:val="00580221"/>
    <w:rsid w:val="00584F97"/>
    <w:rsid w:val="00592537"/>
    <w:rsid w:val="005A1CA2"/>
    <w:rsid w:val="005A3C85"/>
    <w:rsid w:val="005B6C8B"/>
    <w:rsid w:val="005C1601"/>
    <w:rsid w:val="005C243A"/>
    <w:rsid w:val="005C7415"/>
    <w:rsid w:val="005E1097"/>
    <w:rsid w:val="005F2B8F"/>
    <w:rsid w:val="00606202"/>
    <w:rsid w:val="006066AF"/>
    <w:rsid w:val="00612526"/>
    <w:rsid w:val="00626AA0"/>
    <w:rsid w:val="006508B8"/>
    <w:rsid w:val="00666555"/>
    <w:rsid w:val="006665CE"/>
    <w:rsid w:val="006741BA"/>
    <w:rsid w:val="00687FEF"/>
    <w:rsid w:val="00691967"/>
    <w:rsid w:val="00694A1A"/>
    <w:rsid w:val="00694FE6"/>
    <w:rsid w:val="006B47CA"/>
    <w:rsid w:val="006C3935"/>
    <w:rsid w:val="006D47DF"/>
    <w:rsid w:val="006E1EC9"/>
    <w:rsid w:val="006E2339"/>
    <w:rsid w:val="006E3383"/>
    <w:rsid w:val="00701792"/>
    <w:rsid w:val="00703B00"/>
    <w:rsid w:val="00704198"/>
    <w:rsid w:val="00710052"/>
    <w:rsid w:val="00725EA0"/>
    <w:rsid w:val="00733290"/>
    <w:rsid w:val="00737D0C"/>
    <w:rsid w:val="00744AD1"/>
    <w:rsid w:val="0074710C"/>
    <w:rsid w:val="00776CB5"/>
    <w:rsid w:val="00797453"/>
    <w:rsid w:val="007C334F"/>
    <w:rsid w:val="007C5C69"/>
    <w:rsid w:val="007D1317"/>
    <w:rsid w:val="007D2CEE"/>
    <w:rsid w:val="007D7AA6"/>
    <w:rsid w:val="007E6ADC"/>
    <w:rsid w:val="007E7963"/>
    <w:rsid w:val="007F6919"/>
    <w:rsid w:val="0080184A"/>
    <w:rsid w:val="0080633D"/>
    <w:rsid w:val="00810947"/>
    <w:rsid w:val="008143D1"/>
    <w:rsid w:val="00823119"/>
    <w:rsid w:val="008348AB"/>
    <w:rsid w:val="008636E7"/>
    <w:rsid w:val="00876EAC"/>
    <w:rsid w:val="00877E4A"/>
    <w:rsid w:val="00881D59"/>
    <w:rsid w:val="008A0413"/>
    <w:rsid w:val="008B09EF"/>
    <w:rsid w:val="008C593D"/>
    <w:rsid w:val="008D603E"/>
    <w:rsid w:val="008F0746"/>
    <w:rsid w:val="008F1FFD"/>
    <w:rsid w:val="008F57C1"/>
    <w:rsid w:val="00900F0F"/>
    <w:rsid w:val="00926665"/>
    <w:rsid w:val="00931879"/>
    <w:rsid w:val="009376A6"/>
    <w:rsid w:val="00942AEE"/>
    <w:rsid w:val="00950FA9"/>
    <w:rsid w:val="00973FEE"/>
    <w:rsid w:val="0097560B"/>
    <w:rsid w:val="00985E20"/>
    <w:rsid w:val="009876D4"/>
    <w:rsid w:val="00997FA6"/>
    <w:rsid w:val="009A1A3A"/>
    <w:rsid w:val="009B4A13"/>
    <w:rsid w:val="009C17D8"/>
    <w:rsid w:val="009C3AFA"/>
    <w:rsid w:val="009D2CC6"/>
    <w:rsid w:val="009F4AF7"/>
    <w:rsid w:val="00A04EF3"/>
    <w:rsid w:val="00A073B7"/>
    <w:rsid w:val="00A13529"/>
    <w:rsid w:val="00A16123"/>
    <w:rsid w:val="00A27B30"/>
    <w:rsid w:val="00A31D74"/>
    <w:rsid w:val="00A35125"/>
    <w:rsid w:val="00A3765B"/>
    <w:rsid w:val="00A42A39"/>
    <w:rsid w:val="00A62C59"/>
    <w:rsid w:val="00A72425"/>
    <w:rsid w:val="00A76C9D"/>
    <w:rsid w:val="00A80327"/>
    <w:rsid w:val="00A83A4E"/>
    <w:rsid w:val="00A96175"/>
    <w:rsid w:val="00AA4027"/>
    <w:rsid w:val="00AB437E"/>
    <w:rsid w:val="00AC596A"/>
    <w:rsid w:val="00AE160E"/>
    <w:rsid w:val="00AE4DB3"/>
    <w:rsid w:val="00B007F1"/>
    <w:rsid w:val="00B067BC"/>
    <w:rsid w:val="00B23E50"/>
    <w:rsid w:val="00B24CD9"/>
    <w:rsid w:val="00B37267"/>
    <w:rsid w:val="00B37454"/>
    <w:rsid w:val="00B37ABC"/>
    <w:rsid w:val="00B41438"/>
    <w:rsid w:val="00B43E5B"/>
    <w:rsid w:val="00B47193"/>
    <w:rsid w:val="00B47C9F"/>
    <w:rsid w:val="00B511B4"/>
    <w:rsid w:val="00B57777"/>
    <w:rsid w:val="00B65368"/>
    <w:rsid w:val="00B65499"/>
    <w:rsid w:val="00B65D25"/>
    <w:rsid w:val="00B731F6"/>
    <w:rsid w:val="00B80E4E"/>
    <w:rsid w:val="00BB087E"/>
    <w:rsid w:val="00BC1030"/>
    <w:rsid w:val="00BD2F67"/>
    <w:rsid w:val="00BD5C04"/>
    <w:rsid w:val="00BD6891"/>
    <w:rsid w:val="00BE3E4A"/>
    <w:rsid w:val="00BF131A"/>
    <w:rsid w:val="00C04F91"/>
    <w:rsid w:val="00C0583B"/>
    <w:rsid w:val="00C15DB4"/>
    <w:rsid w:val="00C22D42"/>
    <w:rsid w:val="00C5403D"/>
    <w:rsid w:val="00C82800"/>
    <w:rsid w:val="00C94E44"/>
    <w:rsid w:val="00C9667E"/>
    <w:rsid w:val="00CA42E6"/>
    <w:rsid w:val="00CA5EC1"/>
    <w:rsid w:val="00CB3C6E"/>
    <w:rsid w:val="00CC3D8C"/>
    <w:rsid w:val="00CC6CFE"/>
    <w:rsid w:val="00CD424C"/>
    <w:rsid w:val="00CE7250"/>
    <w:rsid w:val="00CE763C"/>
    <w:rsid w:val="00D30D8B"/>
    <w:rsid w:val="00D35CDA"/>
    <w:rsid w:val="00D4175B"/>
    <w:rsid w:val="00D568E3"/>
    <w:rsid w:val="00D64D4A"/>
    <w:rsid w:val="00D66633"/>
    <w:rsid w:val="00D742E7"/>
    <w:rsid w:val="00D75BCE"/>
    <w:rsid w:val="00D8085C"/>
    <w:rsid w:val="00D979E5"/>
    <w:rsid w:val="00DA22F0"/>
    <w:rsid w:val="00DA7B0E"/>
    <w:rsid w:val="00DB260C"/>
    <w:rsid w:val="00DB3211"/>
    <w:rsid w:val="00E0682C"/>
    <w:rsid w:val="00E1422D"/>
    <w:rsid w:val="00E15B81"/>
    <w:rsid w:val="00E2665E"/>
    <w:rsid w:val="00E376A9"/>
    <w:rsid w:val="00E522BD"/>
    <w:rsid w:val="00E54093"/>
    <w:rsid w:val="00E94E49"/>
    <w:rsid w:val="00E9710A"/>
    <w:rsid w:val="00EA3852"/>
    <w:rsid w:val="00EA5F15"/>
    <w:rsid w:val="00EB5993"/>
    <w:rsid w:val="00EC5094"/>
    <w:rsid w:val="00ED5E9E"/>
    <w:rsid w:val="00ED793D"/>
    <w:rsid w:val="00EE2C95"/>
    <w:rsid w:val="00EE57C5"/>
    <w:rsid w:val="00EE6260"/>
    <w:rsid w:val="00EF1443"/>
    <w:rsid w:val="00F00EB2"/>
    <w:rsid w:val="00F24495"/>
    <w:rsid w:val="00F25EFE"/>
    <w:rsid w:val="00F338BE"/>
    <w:rsid w:val="00F71F67"/>
    <w:rsid w:val="00F8174F"/>
    <w:rsid w:val="00F82DB2"/>
    <w:rsid w:val="00F92DA8"/>
    <w:rsid w:val="00F9618B"/>
    <w:rsid w:val="00F97695"/>
    <w:rsid w:val="00FA04B1"/>
    <w:rsid w:val="00FC1571"/>
    <w:rsid w:val="00FC1862"/>
    <w:rsid w:val="00FC3FDB"/>
    <w:rsid w:val="00FC4744"/>
    <w:rsid w:val="00FD2747"/>
    <w:rsid w:val="00FE308F"/>
    <w:rsid w:val="00FF2B58"/>
    <w:rsid w:val="51A23A1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szCs w:val="24"/>
    </w:rPr>
  </w:style>
  <w:style w:type="paragraph" w:styleId="3">
    <w:name w:val="Body Text Indent"/>
    <w:basedOn w:val="1"/>
    <w:link w:val="20"/>
    <w:qFormat/>
    <w:uiPriority w:val="0"/>
    <w:pPr>
      <w:spacing w:line="300" w:lineRule="exact"/>
      <w:ind w:firstLine="360"/>
    </w:pPr>
    <w:rPr>
      <w:rFonts w:ascii="Times New Roman" w:hAnsi="Times New Roman" w:eastAsia="宋体" w:cs="Times New Roman"/>
      <w:sz w:val="18"/>
      <w:szCs w:val="24"/>
    </w:rPr>
  </w:style>
  <w:style w:type="paragraph" w:styleId="4">
    <w:name w:val="Balloon Text"/>
    <w:basedOn w:val="1"/>
    <w:link w:val="16"/>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1"/>
    <w:unhideWhenUsed/>
    <w:qFormat/>
    <w:uiPriority w:val="0"/>
    <w:pPr>
      <w:snapToGrid w:val="0"/>
      <w:jc w:val="left"/>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Shading"/>
    <w:basedOn w:val="8"/>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character" w:styleId="12">
    <w:name w:val="footnote reference"/>
    <w:basedOn w:val="11"/>
    <w:semiHidden/>
    <w:unhideWhenUsed/>
    <w:qFormat/>
    <w:uiPriority w:val="99"/>
    <w:rPr>
      <w:vertAlign w:val="superscript"/>
    </w:rPr>
  </w:style>
  <w:style w:type="character" w:customStyle="1" w:styleId="13">
    <w:name w:val="页眉 字符"/>
    <w:basedOn w:val="11"/>
    <w:link w:val="6"/>
    <w:qFormat/>
    <w:uiPriority w:val="99"/>
    <w:rPr>
      <w:sz w:val="18"/>
      <w:szCs w:val="18"/>
    </w:rPr>
  </w:style>
  <w:style w:type="character" w:customStyle="1" w:styleId="14">
    <w:name w:val="页脚 字符"/>
    <w:basedOn w:val="11"/>
    <w:link w:val="5"/>
    <w:qFormat/>
    <w:uiPriority w:val="99"/>
    <w:rPr>
      <w:sz w:val="18"/>
      <w:szCs w:val="18"/>
    </w:rPr>
  </w:style>
  <w:style w:type="paragraph" w:customStyle="1" w:styleId="1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6">
    <w:name w:val="批注框文本 字符"/>
    <w:basedOn w:val="11"/>
    <w:link w:val="4"/>
    <w:semiHidden/>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占位符文本1"/>
    <w:basedOn w:val="11"/>
    <w:semiHidden/>
    <w:qFormat/>
    <w:uiPriority w:val="99"/>
    <w:rPr>
      <w:color w:val="808080"/>
    </w:rPr>
  </w:style>
  <w:style w:type="paragraph" w:styleId="19">
    <w:name w:val="List Paragraph"/>
    <w:basedOn w:val="1"/>
    <w:unhideWhenUsed/>
    <w:qFormat/>
    <w:uiPriority w:val="34"/>
    <w:pPr>
      <w:ind w:firstLine="420" w:firstLineChars="200"/>
    </w:pPr>
  </w:style>
  <w:style w:type="character" w:customStyle="1" w:styleId="20">
    <w:name w:val="正文文本缩进 字符"/>
    <w:basedOn w:val="11"/>
    <w:link w:val="3"/>
    <w:qFormat/>
    <w:uiPriority w:val="0"/>
    <w:rPr>
      <w:kern w:val="2"/>
      <w:sz w:val="18"/>
      <w:szCs w:val="24"/>
    </w:rPr>
  </w:style>
  <w:style w:type="character" w:customStyle="1" w:styleId="21">
    <w:name w:val="脚注文本 字符"/>
    <w:basedOn w:val="11"/>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DF8A-8B1F-453A-857D-9F6A56C52169}">
  <ds:schemaRefs/>
</ds:datastoreItem>
</file>

<file path=docProps/app.xml><?xml version="1.0" encoding="utf-8"?>
<Properties xmlns="http://schemas.openxmlformats.org/officeDocument/2006/extended-properties" xmlns:vt="http://schemas.openxmlformats.org/officeDocument/2006/docPropsVTypes">
  <Template>Normal</Template>
  <Pages>7</Pages>
  <Words>7318</Words>
  <Characters>10446</Characters>
  <Lines>84</Lines>
  <Paragraphs>23</Paragraphs>
  <TotalTime>5</TotalTime>
  <ScaleCrop>false</ScaleCrop>
  <LinksUpToDate>false</LinksUpToDate>
  <CharactersWithSpaces>10878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2022-10-28T07:59:00Z</dcterms:created>
  <dc:creator>E555</dc:creator>
  <cp:lastModifiedBy>WPS_1652065859</cp:lastModifiedBy>
  <cp:lastPrinted>2022-10-28T07:56:00Z</cp:lastPrinted>
  <dcterms:modified xsi:type="dcterms:W3CDTF">2022-12-26T00:21:31Z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80D92333F0BF4D09B63CA0DA87FE6583</vt:lpwstr>
  </property>
</Properties>
</file>